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Buss Brad W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AECOM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ACM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AECOM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13355 NOEL RD, SUITE 400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units, which vest on the earlier of March 3, 2027, or the date of the Issuer's 2027 Annual Meeting of Stockholders.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Matt Benson, Attorney-in-Fact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9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Bradley W. Buss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940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36664" TargetMode="External"/><Relationship Id="rId14" Type="http://schemas.openxmlformats.org/officeDocument/2006/relationships/hyperlink" Target="http://www.sec.gov/cgi-bin/browse-edgar?action=getcompany&amp;CIK=00008688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2026-03-05T15:17:11Z</dcterms:created>
  <dcterms:modified xsi:type="dcterms:W3CDTF">2026-03-05T15:17:11Z</dcterms:modified>
</cp:coreProperties>
</file>