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489d1_8k.htm"/>
      <w:bookmarkStart w:id="1" w:name="kstm2622489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A_edei--DocumentType_c20260810__20"/>
      <w:bookmarkEnd w:id="2"/>
      <w:r>
        <w:rPr>
          <w:rFonts w:ascii="Times New Roman;Times;Serif" w:hAnsi="Times New Roman;Times;Serif"/>
          <w:b/>
          <w:i w:val="false"/>
          <w:caps w:val="false"/>
          <w:smallCaps w:val="false"/>
          <w:sz w:val="2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 xml:space="preserve">August 10,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AECOM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195"/>
        <w:gridCol w:w="60"/>
        <w:gridCol w:w="1100"/>
        <w:gridCol w:w="60"/>
        <w:gridCol w:w="1520"/>
      </w:tblGrid>
      <w:tr>
        <w:trPr/>
        <w:tc>
          <w:tcPr>
            <w:tcW w:w="21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10"/>
            <w:bookmarkEnd w:id="6"/>
            <w:r>
              <w:rPr>
                <w:rFonts w:ascii="Times New Roman;Times;Serif" w:hAnsi="Times New Roman;Times;Serif"/>
                <w:b/>
                <w:i w:val="false"/>
                <w:caps w:val="false"/>
                <w:smallCaps w:val="false"/>
                <w:sz w:val="20"/>
              </w:rPr>
              <w:t>0-52423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61-1088522</w:t>
            </w:r>
          </w:p>
        </w:tc>
      </w:tr>
      <w:tr>
        <w:trPr/>
        <w:tc>
          <w:tcPr>
            <w:tcW w:w="21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730"/>
        <w:gridCol w:w="60"/>
        <w:gridCol w:w="60"/>
        <w:gridCol w:w="60"/>
        <w:gridCol w:w="905"/>
      </w:tblGrid>
      <w:tr>
        <w:trPr/>
        <w:tc>
          <w:tcPr>
            <w:tcW w:w="1730" w:type="dxa"/>
            <w:tcBorders/>
            <w:vAlign w:val="center"/>
          </w:tcPr>
          <w:p>
            <w:pPr>
              <w:pStyle w:val="TableContents"/>
              <w:bidi w:val="0"/>
              <w:spacing w:before="0" w:after="283"/>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13355 Noel Road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center"/>
              <w:rPr>
                <w:rFonts w:ascii="Times New Roman;Times;Serif" w:hAnsi="Times New Roman;Times;Serif"/>
                <w:b/>
                <w:sz w:val="20"/>
              </w:rPr>
            </w:pPr>
            <w:bookmarkStart w:id="9" w:name="xdx_905_edei--EntityAddressCityOrTown_c2"/>
            <w:bookmarkEnd w:id="9"/>
            <w:r>
              <w:rPr>
                <w:rFonts w:ascii="Times New Roman;Times;Serif" w:hAnsi="Times New Roman;Times;Serif"/>
                <w:b/>
                <w:sz w:val="20"/>
              </w:rPr>
              <w:t xml:space="preserve">Dallas, </w:t>
            </w:r>
            <w:bookmarkStart w:id="10" w:name="xdx_907_edei--EntityAddressStateOrProvin"/>
            <w:bookmarkEnd w:id="10"/>
            <w:r>
              <w:rPr>
                <w:rFonts w:ascii="Times New Roman;Times;Serif" w:hAnsi="Times New Roman;Times;Serif"/>
                <w:b/>
                <w:sz w:val="20"/>
              </w:rPr>
              <w:t>Texas 75240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1" w:name="xdx_905_edei--EntityAddressPostalZipCode"/>
            <w:bookmarkEnd w:id="11"/>
            <w:r>
              <w:rPr>
                <w:rFonts w:ascii="Times New Roman;Times;Serif" w:hAnsi="Times New Roman;Times;Serif"/>
                <w:b/>
                <w:sz w:val="20"/>
              </w:rPr>
              <w:t>75240</w:t>
            </w:r>
          </w:p>
        </w:tc>
      </w:tr>
      <w:tr>
        <w:trPr/>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w:t>
              <w:br/>
              <w:t>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6_edei--CityAreaCode_c20260810__20"/>
      <w:bookmarkEnd w:id="12"/>
      <w:r>
        <w:rPr>
          <w:rFonts w:ascii="Times New Roman;Times;Serif" w:hAnsi="Times New Roman;Times;Serif"/>
          <w:b/>
          <w:i w:val="false"/>
          <w:caps w:val="false"/>
          <w:smallCaps w:val="false"/>
          <w:sz w:val="20"/>
        </w:rPr>
        <w:t xml:space="preserve">972) </w:t>
      </w:r>
      <w:bookmarkStart w:id="13" w:name="xdx_907_edei--LocalPhoneNumber_c20260810"/>
      <w:bookmarkEnd w:id="13"/>
      <w:r>
        <w:rPr>
          <w:rFonts w:ascii="Times New Roman;Times;Serif" w:hAnsi="Times New Roman;Times;Serif"/>
          <w:b/>
          <w:i w:val="false"/>
          <w:caps w:val="false"/>
          <w:smallCaps w:val="false"/>
          <w:sz w:val="20"/>
        </w:rPr>
        <w:t>788-1000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bookmarkStart w:id="14" w:name="xdx_903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both"/>
        <w:rPr>
          <w:caps w:val="false"/>
          <w:smallCaps w:val="false"/>
        </w:rPr>
      </w:pPr>
      <w:bookmarkStart w:id="15" w:name="xdx_902_edei--SolicitingMaterial_c202608"/>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both"/>
        <w:rPr>
          <w:caps w:val="false"/>
          <w:smallCaps w:val="false"/>
        </w:rPr>
      </w:pPr>
      <w:bookmarkStart w:id="16" w:name="xdx_90B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14d-(b) under the Exchange Act (17 CFR 240.14d-2(b))</w:t>
      </w:r>
    </w:p>
    <w:p>
      <w:pPr>
        <w:pStyle w:val="TextBody"/>
        <w:bidi w:val="0"/>
        <w:spacing w:before="0" w:after="0"/>
        <w:jc w:val="both"/>
        <w:rPr>
          <w:caps w:val="false"/>
          <w:smallCaps w:val="false"/>
        </w:rPr>
      </w:pPr>
      <w:bookmarkStart w:id="17" w:name="xdx_90B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2630"/>
        <w:gridCol w:w="60"/>
        <w:gridCol w:w="1610"/>
        <w:gridCol w:w="60"/>
        <w:gridCol w:w="3695"/>
      </w:tblGrid>
      <w:tr>
        <w:trPr/>
        <w:tc>
          <w:tcPr>
            <w:tcW w:w="26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810"/>
            <w:bookmarkEnd w:id="18"/>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810__2"/>
            <w:bookmarkEnd w:id="19"/>
            <w:r>
              <w:rPr>
                <w:rFonts w:ascii="Times New Roman;Times;Serif" w:hAnsi="Times New Roman;Times;Serif"/>
                <w:b w:val="false"/>
                <w:i w:val="false"/>
                <w:caps w:val="false"/>
                <w:smallCaps w:val="false"/>
                <w:sz w:val="20"/>
              </w:rPr>
              <w:t>ACM</w:t>
            </w:r>
          </w:p>
        </w:tc>
        <w:tc>
          <w:tcPr>
            <w:tcW w:w="60" w:type="dxa"/>
            <w:tcBorders/>
            <w:tcMar>
              <w:bottom w:w="0" w:type="dxa"/>
            </w:tcMar>
            <w:vAlign w:val="center"/>
          </w:tcPr>
          <w:p>
            <w:pPr>
              <w:pStyle w:val="TableContents"/>
              <w:bidi w:val="0"/>
              <w:spacing w:before="0" w:after="283"/>
              <w:jc w:val="center"/>
              <w:rPr/>
            </w:pPr>
            <w:r>
              <w:rPr/>
              <w:t> </w:t>
            </w:r>
          </w:p>
        </w:tc>
        <w:tc>
          <w:tcPr>
            <w:tcW w:w="36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360" w:hanging="0"/>
        <w:jc w:val="left"/>
        <w:rPr>
          <w:sz w:val="20"/>
        </w:rPr>
      </w:pPr>
      <w:r>
        <w:rPr>
          <w:rFonts w:ascii="Times New Roman;Times;Serif" w:hAnsi="Times New Roman;Times;Serif"/>
          <w:b w:val="false"/>
          <w:i w:val="false"/>
          <w:caps w:val="false"/>
          <w:smallCaps w:val="false"/>
          <w:sz w:val="20"/>
        </w:rPr>
        <w:t>Emerging Growth Company   </w:t>
      </w:r>
      <w:bookmarkStart w:id="21" w:name="xdx_901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AECOM issued a press release announcing its financial results for the quarter ended June 30, 2026. A copy of the press release is attached to this report as Exhibit 99.1. Exhibit 99.1 attached hereto shall not be deemed “filed” for purposes of Section 18 of the Securities Exchange Act of 1934, as amended, nor shall it be deemed incorporated by reference in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AECOM reports its results of operations based on 52 or 53-week periods ending on the Friday nearest September 30, December 31, March 31, and June 30. For clarity of presentation, all periods are presented as if the periods ended on September 30, December 31, March 31, and June 30.</w:t>
      </w:r>
    </w:p>
    <w:p>
      <w:pPr>
        <w:pStyle w:val="TextBody"/>
        <w:bidi w:val="0"/>
        <w:spacing w:before="0" w:after="283"/>
        <w:jc w:val="left"/>
        <w:rPr/>
      </w:pPr>
      <w:r>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283"/>
        <w:jc w:val="left"/>
        <w:rPr/>
      </w:pPr>
      <w:r>
        <w:rPr/>
        <w:t> </w:t>
      </w:r>
    </w:p>
    <w:p>
      <w:pPr>
        <w:pStyle w:val="TextBody"/>
        <w:bidi w:val="0"/>
        <w:spacing w:before="0" w:after="283"/>
        <w:jc w:val="left"/>
        <w:rPr/>
      </w:pPr>
      <w:r>
        <w:rPr>
          <w:rFonts w:ascii="Times New Roman;Times;Serif" w:hAnsi="Times New Roman;Times;Serif"/>
          <w:sz w:val="20"/>
        </w:rPr>
        <w:t>(d)  Exhibits</w:t>
      </w:r>
      <w:r>
        <w:rPr/>
        <w:t xml:space="preserve">  </w:t>
      </w:r>
    </w:p>
    <w:p>
      <w:pPr>
        <w:pStyle w:val="TextBody"/>
        <w:bidi w:val="0"/>
        <w:spacing w:before="0" w:after="283"/>
        <w:jc w:val="left"/>
        <w:rPr/>
      </w:pPr>
      <w:r>
        <w:rPr/>
        <w:t> </w:t>
      </w:r>
    </w:p>
    <w:tbl>
      <w:tblPr>
        <w:tblW w:w="8320" w:type="dxa"/>
        <w:jc w:val="left"/>
        <w:tblInd w:w="0" w:type="dxa"/>
        <w:tblLayout w:type="fixed"/>
        <w:tblCellMar>
          <w:top w:w="0" w:type="dxa"/>
          <w:left w:w="0" w:type="dxa"/>
          <w:bottom w:w="0" w:type="dxa"/>
          <w:right w:w="0" w:type="dxa"/>
        </w:tblCellMar>
      </w:tblPr>
      <w:tblGrid>
        <w:gridCol w:w="395"/>
        <w:gridCol w:w="60"/>
        <w:gridCol w:w="7865"/>
      </w:tblGrid>
      <w:tr>
        <w:trPr/>
        <w:tc>
          <w:tcPr>
            <w:tcW w:w="395" w:type="dxa"/>
            <w:tcBorders/>
            <w:vAlign w:val="center"/>
          </w:tcPr>
          <w:p>
            <w:pPr>
              <w:pStyle w:val="TableContents"/>
              <w:bidi w:val="0"/>
              <w:spacing w:before="0" w:after="283"/>
              <w:jc w:val="left"/>
              <w:rPr/>
            </w:pPr>
            <w:hyperlink w:anchor="tm2622489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283"/>
              <w:jc w:val="left"/>
              <w:rPr/>
            </w:pPr>
            <w:hyperlink w:anchor="tm2622489d1_ex99-1.htm">
              <w:r>
                <w:rPr>
                  <w:rStyle w:val="InternetLink"/>
                  <w:sz w:val="20"/>
                </w:rPr>
                <w:t>Press Release, dated August 10, 2026 entitled “AECOM reports third quarter fiscal 2026 results”.</w:t>
              </w:r>
            </w:hyperlink>
          </w:p>
        </w:tc>
      </w:tr>
      <w:tr>
        <w:trPr/>
        <w:tc>
          <w:tcPr>
            <w:tcW w:w="3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283"/>
              <w:jc w:val="left"/>
              <w:rPr>
                <w:sz w:val="20"/>
              </w:rPr>
            </w:pPr>
            <w:r>
              <w:rPr>
                <w:sz w:val="20"/>
              </w:rPr>
              <w:t>Cover Page Interactive Data File (embedded within the Inline XBRL document).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1970"/>
        <w:gridCol w:w="365"/>
        <w:gridCol w:w="3725"/>
      </w:tblGrid>
      <w:tr>
        <w:trPr/>
        <w:tc>
          <w:tcPr>
            <w:tcW w:w="1970"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AECOM</w:t>
            </w:r>
          </w:p>
        </w:tc>
      </w:tr>
      <w:tr>
        <w:trPr/>
        <w:tc>
          <w:tcPr>
            <w:tcW w:w="1970"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sz w:val="20"/>
              </w:rPr>
            </w:pPr>
            <w:r>
              <w:rPr>
                <w:sz w:val="20"/>
              </w:rPr>
              <w:t>Dated: August 10,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Y. Gan</w:t>
            </w:r>
          </w:p>
        </w:tc>
      </w:tr>
      <w:tr>
        <w:trPr/>
        <w:tc>
          <w:tcPr>
            <w:tcW w:w="19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Y. Gan</w:t>
            </w:r>
          </w:p>
        </w:tc>
      </w:tr>
      <w:tr>
        <w:trPr/>
        <w:tc>
          <w:tcPr>
            <w:tcW w:w="19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489d1_ex99-1.htm"/>
      <w:bookmarkStart w:id="23" w:name="kstm2622489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both"/>
        <w:rPr/>
      </w:pPr>
      <w:r>
        <w:rPr/>
        <w:drawing>
          <wp:inline distT="0" distB="0" distL="0" distR="0">
            <wp:extent cx="13144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371475"/>
                    </a:xfrm>
                    <a:prstGeom prst="rect">
                      <a:avLst/>
                    </a:prstGeom>
                  </pic:spPr>
                </pic:pic>
              </a:graphicData>
            </a:graphic>
          </wp:inline>
        </w:drawing>
      </w:r>
    </w:p>
    <w:p>
      <w:pPr>
        <w:pStyle w:val="TextBody"/>
        <w:bidi w:val="0"/>
        <w:spacing w:before="0" w:after="283"/>
        <w:jc w:val="left"/>
        <w:rPr/>
      </w:pPr>
      <w:r>
        <w:rPr/>
        <w:t> </w:t>
      </w:r>
    </w:p>
    <w:tbl>
      <w:tblPr>
        <w:tblW w:w="8310" w:type="dxa"/>
        <w:jc w:val="left"/>
        <w:tblInd w:w="0" w:type="dxa"/>
        <w:tblLayout w:type="fixed"/>
        <w:tblCellMar>
          <w:top w:w="0" w:type="dxa"/>
          <w:left w:w="0" w:type="dxa"/>
          <w:bottom w:w="0" w:type="dxa"/>
          <w:right w:w="0" w:type="dxa"/>
        </w:tblCellMar>
      </w:tblPr>
      <w:tblGrid>
        <w:gridCol w:w="1115"/>
        <w:gridCol w:w="3335"/>
        <w:gridCol w:w="3860"/>
      </w:tblGrid>
      <w:tr>
        <w:trPr/>
        <w:tc>
          <w:tcPr>
            <w:tcW w:w="1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w:t>
            </w:r>
          </w:p>
          <w:p>
            <w:pPr>
              <w:pStyle w:val="TableContents"/>
              <w:bidi w:val="0"/>
              <w:spacing w:before="0" w:after="0"/>
              <w:ind w:left="0" w:right="0" w:hanging="0"/>
              <w:jc w:val="left"/>
              <w:rPr>
                <w:caps w:val="false"/>
                <w:smallCaps w:val="false"/>
              </w:rPr>
            </w:pPr>
            <w:r>
              <w:rPr>
                <w:caps w:val="false"/>
                <w:smallCaps w:val="false"/>
              </w:rPr>
              <w:t> </w:t>
            </w:r>
          </w:p>
        </w:tc>
        <w:tc>
          <w:tcPr>
            <w:tcW w:w="33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t>:</w:t>
              <w:br/>
              <w:t>Will Gabrielski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213.593.8208</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William.Gabrielski@aecom.com</w:t>
            </w:r>
          </w:p>
        </w:tc>
        <w:tc>
          <w:tcPr>
            <w:tcW w:w="38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br/>
            </w:r>
            <w:r>
              <w:rPr>
                <w:rFonts w:ascii="Times New Roman;Times;Serif" w:hAnsi="Times New Roman;Times;Serif"/>
                <w:b w:val="false"/>
                <w:i w:val="false"/>
                <w:caps w:val="false"/>
                <w:smallCaps w:val="false"/>
                <w:sz w:val="20"/>
              </w:rPr>
              <w:t>Brendan Ranson-Walsh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Global Communications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213.996.2367</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Brendan.Ranson-Walsh@aecom.com</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 reports third quarter fiscal 2026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Results included a $337 million pre-tax loss related to the delayed completion of a Construction Management project</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25"/>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Excluding this project’s impacts, margins, earnings and cash flow were strong</w:t>
            </w:r>
          </w:p>
        </w:tc>
      </w:tr>
    </w:tbl>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2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Backlog increased 13% to a new record driven by a 1.6 book-to-burn ratio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Updated fiscal 2026 financial guidance to reflect the financial impacts from the Construction Management project charge, including impacts to cash flow, and lower fiscal 2026 NSR growth expectations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(August 10, 2026)</w:t>
      </w:r>
      <w:r>
        <w:rPr>
          <w:rFonts w:ascii="Times New Roman;Times;Serif" w:hAnsi="Times New Roman;Times;Serif"/>
          <w:b w:val="false"/>
          <w:i w:val="false"/>
          <w:caps w:val="false"/>
          <w:smallCaps w:val="false"/>
          <w:sz w:val="20"/>
        </w:rPr>
        <w:t xml:space="preserve"> — AECOM (NYSE:ACM), the trusted global infrastructure leader, today reported third quarter fiscal 2026 results.</w:t>
      </w:r>
    </w:p>
    <w:p>
      <w:pPr>
        <w:pStyle w:val="TextBody"/>
        <w:bidi w:val="0"/>
        <w:spacing w:before="0" w:after="0"/>
        <w:ind w:left="0" w:right="0" w:hanging="0"/>
        <w:jc w:val="left"/>
        <w:rPr>
          <w:caps w:val="false"/>
          <w:smallCaps w:val="false"/>
        </w:rPr>
      </w:pPr>
      <w:r>
        <w:rPr>
          <w:caps w:val="false"/>
          <w:smallCaps w:val="false"/>
        </w:rPr>
        <w:t> </w:t>
      </w:r>
    </w:p>
    <w:tbl>
      <w:tblPr>
        <w:tblW w:w="8516" w:type="dxa"/>
        <w:jc w:val="center"/>
        <w:tblInd w:w="0" w:type="dxa"/>
        <w:tblLayout w:type="fixed"/>
        <w:tblCellMar>
          <w:top w:w="0" w:type="dxa"/>
          <w:left w:w="0" w:type="dxa"/>
          <w:bottom w:w="28" w:type="dxa"/>
          <w:right w:w="0" w:type="dxa"/>
        </w:tblCellMar>
      </w:tblPr>
      <w:tblGrid>
        <w:gridCol w:w="2495"/>
        <w:gridCol w:w="60"/>
        <w:gridCol w:w="183"/>
        <w:gridCol w:w="871"/>
        <w:gridCol w:w="80"/>
        <w:gridCol w:w="60"/>
        <w:gridCol w:w="200"/>
        <w:gridCol w:w="1124"/>
        <w:gridCol w:w="245"/>
        <w:gridCol w:w="60"/>
        <w:gridCol w:w="222"/>
        <w:gridCol w:w="862"/>
        <w:gridCol w:w="245"/>
        <w:gridCol w:w="60"/>
        <w:gridCol w:w="130"/>
        <w:gridCol w:w="1194"/>
        <w:gridCol w:w="425"/>
      </w:tblGrid>
      <w:tr>
        <w:trPr/>
        <w:tc>
          <w:tcPr>
            <w:tcW w:w="249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Continuing Operations;</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 millions, except EPS)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 Change</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r>
            <w:r>
              <w:rPr>
                <w:rFonts w:ascii="Times New Roman;Times;Serif" w:hAnsi="Times New Roman;Times;Serif"/>
                <w:b/>
                <w:i w:val="false"/>
                <w:caps w:val="false"/>
                <w:smallCaps w:val="false"/>
                <w:position w:val="7"/>
                <w:sz w:val="16"/>
                <w:sz w:val="20"/>
              </w:rPr>
              <w:t>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 Change</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Service Revenue (NSR)</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Margin</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bps</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(Fully Diluted)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4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Margin</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w:t>
            </w:r>
          </w:p>
        </w:tc>
        <w:tc>
          <w:tcPr>
            <w:tcW w:w="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bps</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r>
              <w:rPr>
                <w:rFonts w:ascii="Times New Roman;Times;Serif" w:hAnsi="Times New Roman;Times;Serif"/>
                <w:b w:val="false"/>
                <w:i w:val="false"/>
                <w:caps w:val="false"/>
                <w:smallCaps w:val="false"/>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Backlog</w:t>
            </w:r>
            <w:r>
              <w:rPr>
                <w:rFonts w:ascii="Times New Roman;Times;Serif" w:hAnsi="Times New Roman;Times;Serif"/>
                <w:b w:val="false"/>
                <w:i w:val="false"/>
                <w:caps w:val="false"/>
                <w:smallCaps w:val="false"/>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194" w:type="dxa"/>
            <w:tcBorders/>
            <w:shd w:fill="CCEEFF" w:val="clear"/>
            <w:tcMar>
              <w:bottom w:w="0" w:type="dxa"/>
            </w:tcMar>
            <w:vAlign w:val="center"/>
          </w:tcPr>
          <w:p>
            <w:pPr>
              <w:pStyle w:val="TableContents"/>
              <w:bidi w:val="0"/>
              <w:spacing w:before="0" w:after="283"/>
              <w:jc w:val="right"/>
              <w:rPr/>
            </w:pPr>
            <w:r>
              <w:rPr/>
              <w:t> </w:t>
            </w:r>
          </w:p>
        </w:tc>
        <w:tc>
          <w:tcPr>
            <w:tcW w:w="42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Construction Management Project Impact</w:t>
      </w:r>
    </w:p>
    <w:p>
      <w:pPr>
        <w:pStyle w:val="TextBody"/>
        <w:bidi w:val="0"/>
        <w:spacing w:before="0" w:after="0"/>
        <w:ind w:left="0" w:right="0" w:hanging="0"/>
        <w:jc w:val="left"/>
        <w:rPr>
          <w:caps w:val="false"/>
          <w:smallCaps w:val="false"/>
        </w:rPr>
      </w:pPr>
      <w:r>
        <w:rPr>
          <w:caps w:val="false"/>
          <w:smallCaps w:val="false"/>
        </w:rPr>
        <w:t> </w:t>
      </w:r>
    </w:p>
    <w:tbl>
      <w:tblPr>
        <w:tblW w:w="9101" w:type="dxa"/>
        <w:jc w:val="center"/>
        <w:tblInd w:w="0" w:type="dxa"/>
        <w:tblLayout w:type="fixed"/>
        <w:tblCellMar>
          <w:top w:w="0" w:type="dxa"/>
          <w:left w:w="0" w:type="dxa"/>
          <w:bottom w:w="28" w:type="dxa"/>
          <w:right w:w="0" w:type="dxa"/>
        </w:tblCellMar>
      </w:tblPr>
      <w:tblGrid>
        <w:gridCol w:w="2630"/>
        <w:gridCol w:w="60"/>
        <w:gridCol w:w="222"/>
        <w:gridCol w:w="862"/>
        <w:gridCol w:w="245"/>
        <w:gridCol w:w="60"/>
        <w:gridCol w:w="268"/>
        <w:gridCol w:w="1041"/>
        <w:gridCol w:w="350"/>
        <w:gridCol w:w="60"/>
        <w:gridCol w:w="267"/>
        <w:gridCol w:w="1042"/>
        <w:gridCol w:w="185"/>
        <w:gridCol w:w="60"/>
        <w:gridCol w:w="226"/>
        <w:gridCol w:w="1098"/>
        <w:gridCol w:w="425"/>
      </w:tblGrid>
      <w:tr>
        <w:trPr/>
        <w:tc>
          <w:tcPr>
            <w:tcW w:w="26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Continuing Operations;</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 millions, except EPS)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r>
            <w:r>
              <w:rPr>
                <w:rFonts w:ascii="Times New Roman;Times;Serif" w:hAnsi="Times New Roman;Times;Serif"/>
                <w:b/>
                <w:i w:val="false"/>
                <w:caps w:val="false"/>
                <w:smallCaps w:val="false"/>
                <w:position w:val="7"/>
                <w:sz w:val="16"/>
                <w:sz w:val="20"/>
              </w:rPr>
              <w:t>2</w:t>
              <w:br/>
            </w:r>
            <w:r>
              <w:rPr>
                <w:rFonts w:ascii="Times New Roman;Times;Serif" w:hAnsi="Times New Roman;Times;Serif"/>
                <w:b/>
                <w:i w:val="false"/>
                <w:caps w:val="false"/>
                <w:smallCaps w:val="false"/>
                <w:sz w:val="20"/>
              </w:rPr>
              <w:t>(Non-GAAP)</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 Mgmt.</w:t>
              <w:br/>
              <w:t>Project Charge</w:t>
              <w:br/>
              <w:t>Impact</w:t>
            </w:r>
          </w:p>
        </w:tc>
        <w:tc>
          <w:tcPr>
            <w:tcW w:w="3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Metrics Excl.</w:t>
              <w:br/>
              <w:t>Const. Mgmt.</w:t>
              <w:br/>
              <w:t>Project Charge</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 Change</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Service Revenue (NSR)</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3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 Operating Margin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w:t>
            </w:r>
          </w:p>
        </w:tc>
        <w:tc>
          <w:tcPr>
            <w:tcW w:w="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bps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bps</w:t>
            </w:r>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EBITDA</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3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EBITDA Margin</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w:t>
            </w:r>
          </w:p>
        </w:tc>
        <w:tc>
          <w:tcPr>
            <w:tcW w:w="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bps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4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bps</w:t>
            </w:r>
          </w:p>
        </w:tc>
      </w:tr>
      <w:tr>
        <w:trPr/>
        <w:tc>
          <w:tcPr>
            <w:tcW w:w="26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EPS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3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Included in AECOM’s third quarter results is a $337 million pre-tax charge resulting from a higher projected cost to complete a Construction Management project.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project was awarded in 2019 under terms and conditions that would not be acceptable after the substantial changes the Company implemented to its risk policies several years ago.</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25"/>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project is expected to achieve substantial completion during the second quarter of fiscal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is pursuing claims related to its work on the project and confidence in recovery has been validated by successes on initial matters that have been ruled upon to date; however, it will likely take several years and litigation to fully resolve all matters.</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result, the Company is now projecting full year free cash flow of approximately $300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disappointed by the loss we took this quarter on the Construction Management project,” said Troy Rudd, AECOM’s chairman and chief executive officer. “The project is nearing completion, but lower subcontractor productivity is driving a delayed completion and a higher estimated cost to complete. This project was bid in 2019 under terms and conditions that would not clear our substantially transformed risk processes today. Beyond this, the quarter included several key highlights, including record wins and an all-time high backlog, which make us very confident in the health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momentum continues to build, as we win work at a record pace and gain further share in the marketplace,” said Lara Poloni, AECOM’s president. “In fact, our backlog increased by 13% and we were successful in capturing two of the largest recompetes in our Company’s history that also include significantly expanded scope. We are well positioned to capitalize on growing demand in our markets with our strengthened value proposition for clients, which is supported by our number one rankings across our key markets, as well as our expanding addressable market through our Advisory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a strong balance sheet and healthy underlying cash flow,” said Gaurav Kapoor, AECOM’s chief financial and operations officer. “As a result, we are able to operate with certainty while continuing to invest in organic growth initiatives that underpin the expanding value we deliver to clients. Against the current backdrop, our positive free cash flow and expectation for the full year demonstrates the resilience of our business and strength of our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Quarter 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Reflecting as reported GAAP performance from continuing operations, third quarter revenue of $3.6 billion reflected a 14% decrease over the prior year; the Company also reported an operating loss of $76 million, net loss of $84 million and diluted loss per share of $0.65.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 quarter results included a $337 million pre-tax charge on a Construction Management project, which impacted both the Company’s revenue and profitability in the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service revenue</w:t>
            </w:r>
            <w:r>
              <w:rPr>
                <w:rFonts w:ascii="Times New Roman;Times;Serif" w:hAnsi="Times New Roman;Times;Serif"/>
                <w:position w:val="8"/>
                <w:sz w:val="19"/>
              </w:rPr>
              <w:t>1</w:t>
            </w:r>
            <w:r>
              <w:rPr>
                <w:rFonts w:ascii="Times New Roman;Times;Serif" w:hAnsi="Times New Roman;Times;Serif"/>
              </w:rPr>
              <w:t xml:space="preserve"> increased by 4% in the design business and increased 5% when adjusted for a fewer working day compared to the prior year period, driven by 6% and 4% growth in the Americas and International,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Excluding the Construction Management charge, both the segment adjusted</w:t>
            </w:r>
            <w:r>
              <w:rPr>
                <w:rFonts w:ascii="Times New Roman;Times;Serif" w:hAnsi="Times New Roman;Times;Serif"/>
                <w:position w:val="8"/>
                <w:sz w:val="19"/>
              </w:rPr>
              <w:t>2</w:t>
            </w:r>
            <w:r>
              <w:rPr>
                <w:rFonts w:ascii="Times New Roman;Times;Serif" w:hAnsi="Times New Roman;Times;Serif"/>
              </w:rPr>
              <w:t xml:space="preserve"> operating margin</w:t>
            </w:r>
            <w:r>
              <w:rPr>
                <w:rFonts w:ascii="Times New Roman;Times;Serif" w:hAnsi="Times New Roman;Times;Serif"/>
                <w:position w:val="8"/>
                <w:sz w:val="19"/>
              </w:rPr>
              <w:t>3</w:t>
            </w:r>
            <w:r>
              <w:rPr>
                <w:rFonts w:ascii="Times New Roman;Times;Serif" w:hAnsi="Times New Roman;Times;Serif"/>
              </w:rPr>
              <w:t xml:space="preserve"> and the adjusted</w:t>
            </w:r>
            <w:r>
              <w:rPr>
                <w:rFonts w:ascii="Times New Roman;Times;Serif" w:hAnsi="Times New Roman;Times;Serif"/>
                <w:position w:val="8"/>
                <w:sz w:val="19"/>
              </w:rPr>
              <w:t>2</w:t>
            </w:r>
            <w:r>
              <w:rPr>
                <w:rFonts w:ascii="Times New Roman;Times;Serif" w:hAnsi="Times New Roman;Times;Serif"/>
              </w:rPr>
              <w:t xml:space="preserve"> EBITDA margin</w:t>
            </w:r>
            <w:r>
              <w:rPr>
                <w:rFonts w:ascii="Times New Roman;Times;Serif" w:hAnsi="Times New Roman;Times;Serif"/>
                <w:position w:val="8"/>
                <w:sz w:val="19"/>
              </w:rPr>
              <w:t>4</w:t>
            </w:r>
            <w:r>
              <w:rPr>
                <w:rFonts w:ascii="Times New Roman;Times;Serif" w:hAnsi="Times New Roman;Times;Serif"/>
              </w:rPr>
              <w:t xml:space="preserve"> would have decreased by 60 basis points to 16.5% and 17.0%,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w:t>
            </w:r>
            <w:r>
              <w:rPr>
                <w:rFonts w:ascii="Times New Roman;Times;Serif" w:hAnsi="Times New Roman;Times;Serif"/>
                <w:position w:val="8"/>
                <w:sz w:val="19"/>
              </w:rPr>
              <w:t>2</w:t>
            </w:r>
            <w:r>
              <w:rPr>
                <w:rFonts w:ascii="Times New Roman;Times;Serif" w:hAnsi="Times New Roman;Times;Serif"/>
              </w:rPr>
              <w:t xml:space="preserve"> EBITDA</w:t>
            </w:r>
            <w:r>
              <w:rPr>
                <w:rFonts w:ascii="Times New Roman;Times;Serif" w:hAnsi="Times New Roman;Times;Serif"/>
                <w:position w:val="8"/>
                <w:sz w:val="19"/>
              </w:rPr>
              <w:t>5</w:t>
            </w:r>
            <w:r>
              <w:rPr>
                <w:rFonts w:ascii="Times New Roman;Times;Serif" w:hAnsi="Times New Roman;Times;Serif"/>
              </w:rPr>
              <w:t xml:space="preserve"> and adjusted</w:t>
            </w:r>
            <w:r>
              <w:rPr>
                <w:rFonts w:ascii="Times New Roman;Times;Serif" w:hAnsi="Times New Roman;Times;Serif"/>
                <w:position w:val="8"/>
                <w:sz w:val="19"/>
              </w:rPr>
              <w:t>2</w:t>
            </w:r>
            <w:r>
              <w:rPr>
                <w:rFonts w:ascii="Times New Roman;Times;Serif" w:hAnsi="Times New Roman;Times;Serif"/>
              </w:rPr>
              <w:t xml:space="preserve"> EPS after excluding the Construction Management charge would have increased by 5% and 11% to $329 million and $1.49,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backlog</w:t>
            </w:r>
            <w:r>
              <w:rPr>
                <w:rFonts w:ascii="Times New Roman;Times;Serif" w:hAnsi="Times New Roman;Times;Serif"/>
                <w:position w:val="8"/>
                <w:sz w:val="19"/>
              </w:rPr>
              <w:t>6</w:t>
            </w:r>
            <w:r>
              <w:rPr>
                <w:rFonts w:ascii="Times New Roman;Times;Serif" w:hAnsi="Times New Roman;Times;Serif"/>
              </w:rPr>
              <w:t xml:space="preserve"> increased by 13% to a record high, driven by a record $4.2 billion in wins that resulted in a 1.6 book-to-burn</w:t>
            </w:r>
            <w:r>
              <w:rPr>
                <w:rFonts w:ascii="Times New Roman;Times;Serif" w:hAnsi="Times New Roman;Times;Serif"/>
                <w:position w:val="8"/>
                <w:sz w:val="19"/>
              </w:rPr>
              <w:t>7</w:t>
            </w:r>
            <w:r>
              <w:rPr>
                <w:rFonts w:ascii="Times New Roman;Times;Serif" w:hAnsi="Times New Roman;Times;Serif"/>
              </w:rPr>
              <w:t xml:space="preserve"> ratio.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design wins of $4.0 billion contributed to a 1.6 book-to-burn ratio in the design business, including a 1.8 book-to-burn ratio in the Americas design business and a 1.4 book-to-burn ratio in the International segment.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design pipeline increased again to a new all-time high, including growth in both early-stage and late-stage pursuits, even as the Company delivered record wins in the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Flow and Capital Allocation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 excluding the impact of the Construction Management project remains strong and AECOM expects to deliver on its long-term 100%+ free cash flow conversion target once the Construction Management project headwinds subside.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remains committed to its returns-based capital allocation policy, which in the near-term will be prioritized towards its organic growth investments and its quarterly dividend program.</w:t>
            </w:r>
          </w:p>
        </w:tc>
      </w:tr>
    </w:tbl>
    <w:p>
      <w:pPr>
        <w:pStyle w:val="TextBody"/>
        <w:bidi w:val="0"/>
        <w:spacing w:before="0" w:after="0"/>
        <w:ind w:left="0" w:right="0" w:hanging="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25"/>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maintains a strong balance sheet with net leverage</w:t>
            </w:r>
            <w:r>
              <w:rPr>
                <w:rFonts w:ascii="Times New Roman;Times;Serif" w:hAnsi="Times New Roman;Times;Serif"/>
                <w:position w:val="8"/>
                <w:sz w:val="19"/>
              </w:rPr>
              <w:t>9</w:t>
            </w:r>
            <w:r>
              <w:rPr>
                <w:rFonts w:ascii="Times New Roman;Times;Serif" w:hAnsi="Times New Roman;Times;Serif"/>
              </w:rPr>
              <w:t xml:space="preserve"> of 1.5x.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2026 and Long-Term Financial Guidance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AECOM updated its fiscal 2026 earnings guidance to reflect the impacts of the Construction Management charge.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Company’s guidance also contemplates higher than expected margin performance excluding the Construction Management charge, offset by lower expected NSR growth primarily attributable to delayed project starts in the Construction Management business and ongoing conflict in the Middle East.</w:t>
            </w:r>
          </w:p>
        </w:tc>
      </w:tr>
    </w:tbl>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25"/>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result, the Company’s fiscal 2026 guidance now includes expectations 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pPr>
            <w:r>
              <w:rPr/>
              <w:t>Adjusted</w:t>
            </w:r>
            <w:r>
              <w:rPr>
                <w:position w:val="8"/>
                <w:sz w:val="19"/>
              </w:rPr>
              <w:t>2</w:t>
            </w:r>
            <w:r>
              <w:rPr/>
              <w:t xml:space="preserve"> EPS of between $3.95 and $4.15 and adjusted</w:t>
            </w:r>
            <w:r>
              <w:rPr>
                <w:position w:val="8"/>
                <w:sz w:val="19"/>
              </w:rPr>
              <w:t>2</w:t>
            </w:r>
            <w:r>
              <w:rPr/>
              <w:t xml:space="preserve"> EBITDA</w:t>
            </w:r>
            <w:r>
              <w:rPr>
                <w:position w:val="8"/>
                <w:sz w:val="19"/>
              </w:rPr>
              <w:t>5</w:t>
            </w:r>
            <w:r>
              <w:rPr/>
              <w:t xml:space="preserve"> of between $935 million and $965 million.</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4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pPr>
            <w:r>
              <w:rPr/>
              <w:t>Total NSR</w:t>
            </w:r>
            <w:r>
              <w:rPr>
                <w:position w:val="8"/>
                <w:sz w:val="19"/>
              </w:rPr>
              <w:t>1</w:t>
            </w:r>
            <w:r>
              <w:rPr/>
              <w:t xml:space="preserve"> of between $7.30 and $7.35 billion.</w:t>
            </w:r>
          </w:p>
        </w:tc>
      </w:tr>
    </w:tbl>
    <w:p>
      <w:pPr>
        <w:pStyle w:val="TextBody"/>
        <w:bidi w:val="0"/>
        <w:spacing w:before="0" w:after="0"/>
        <w:ind w:left="0" w:right="0" w:hanging="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4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pPr>
            <w:r>
              <w:rPr/>
              <w:t>Free cash flow</w:t>
            </w:r>
            <w:r>
              <w:rPr>
                <w:position w:val="8"/>
                <w:sz w:val="19"/>
              </w:rPr>
              <w:t>8</w:t>
            </w:r>
            <w:r>
              <w:rPr/>
              <w:t xml:space="preserve"> of approximately $300 million.</w:t>
            </w:r>
          </w:p>
        </w:tc>
      </w:tr>
    </w:tbl>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95"/>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average fully diluted share count of 130 million.</w:t>
            </w:r>
          </w:p>
        </w:tc>
      </w:tr>
    </w:tbl>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95"/>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adjusted effective tax rate of approximately 19%.</w:t>
            </w:r>
          </w:p>
        </w:tc>
      </w:tr>
    </w:tbl>
    <w:p>
      <w:pPr>
        <w:pStyle w:val="TextBody"/>
        <w:bidi w:val="0"/>
        <w:spacing w:before="0" w:after="0"/>
        <w:ind w:left="0" w:right="0" w:hanging="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125"/>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Excluding the Construction Management charge, the Company’s guidance contemplates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9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NSR of between $7.65 and $7.70 billion.</w:t>
            </w:r>
          </w:p>
        </w:tc>
      </w:tr>
    </w:tbl>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95"/>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segment adjusted operating margin</w:t>
            </w:r>
            <w:r>
              <w:rPr>
                <w:rFonts w:ascii="Times New Roman;Times;Serif" w:hAnsi="Times New Roman;Times;Serif"/>
                <w:position w:val="8"/>
                <w:sz w:val="19"/>
              </w:rPr>
              <w:t>3</w:t>
            </w:r>
            <w:r>
              <w:rPr>
                <w:rFonts w:ascii="Times New Roman;Times;Serif" w:hAnsi="Times New Roman;Times;Serif"/>
              </w:rPr>
              <w:t xml:space="preserve"> of 17.0% and an adjusted EBITDA margin</w:t>
            </w:r>
            <w:r>
              <w:rPr>
                <w:rFonts w:ascii="Times New Roman;Times;Serif" w:hAnsi="Times New Roman;Times;Serif"/>
                <w:position w:val="8"/>
                <w:sz w:val="19"/>
              </w:rPr>
              <w:t>4</w:t>
            </w:r>
            <w:r>
              <w:rPr>
                <w:rFonts w:ascii="Times New Roman;Times;Serif" w:hAnsi="Times New Roman;Times;Serif"/>
              </w:rPr>
              <w:t xml:space="preserve"> of 17.4%.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w:t>
            </w:r>
            <w:r>
              <w:rPr>
                <w:rFonts w:ascii="Times New Roman;Times;Serif" w:hAnsi="Times New Roman;Times;Serif"/>
                <w:position w:val="8"/>
                <w:sz w:val="19"/>
              </w:rPr>
              <w:t>2</w:t>
            </w:r>
            <w:r>
              <w:rPr>
                <w:rFonts w:ascii="Times New Roman;Times;Serif" w:hAnsi="Times New Roman;Times;Serif"/>
              </w:rPr>
              <w:t xml:space="preserve"> EPS of between $5.90 and $6.10 and adjusted</w:t>
            </w:r>
            <w:r>
              <w:rPr>
                <w:rFonts w:ascii="Times New Roman;Times;Serif" w:hAnsi="Times New Roman;Times;Serif"/>
                <w:position w:val="8"/>
                <w:sz w:val="19"/>
              </w:rPr>
              <w:t>2</w:t>
            </w:r>
            <w:r>
              <w:rPr>
                <w:rFonts w:ascii="Times New Roman;Times;Serif" w:hAnsi="Times New Roman;Times;Serif"/>
              </w:rPr>
              <w:t xml:space="preserve"> EBITDA</w:t>
            </w:r>
            <w:r>
              <w:rPr>
                <w:rFonts w:ascii="Times New Roman;Times;Serif" w:hAnsi="Times New Roman;Times;Serif"/>
                <w:position w:val="8"/>
                <w:sz w:val="19"/>
              </w:rPr>
              <w:t>5</w:t>
            </w:r>
            <w:r>
              <w:rPr>
                <w:rFonts w:ascii="Times New Roman;Times;Serif" w:hAnsi="Times New Roman;Times;Serif"/>
              </w:rPr>
              <w:t xml:space="preserve"> of between $1,275 million and $1,305 million, which is consistent with the Company’s prior guidance.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addition, the Company reaffirmed its long-term financial targets, which includes its expectation to deliver a 20%+ margin exit rate by fiscal 2028 and to grow adjusted</w:t>
            </w:r>
            <w:r>
              <w:rPr>
                <w:rFonts w:ascii="Times New Roman;Times;Serif" w:hAnsi="Times New Roman;Times;Serif"/>
                <w:position w:val="8"/>
                <w:sz w:val="19"/>
              </w:rPr>
              <w:t>2</w:t>
            </w:r>
            <w:r>
              <w:rPr>
                <w:rFonts w:ascii="Times New Roman;Times;Serif" w:hAnsi="Times New Roman;Times;Serif"/>
              </w:rPr>
              <w:t xml:space="preserve"> EPS at a 15%+ CAGR from fiscal 2026 to fiscal 2029, excluding the Construction Management charge.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See the Regulation G Information tables at the end of this release for a reconciliation of non-GAAP measures to the most directly comparable GAAP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 the third quarter was $2.6 billion, a 20% decrease from the prior year. Net service revenue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third quarter was $808 million, a 29% decrease from the prior year, which included 6% growth in the Americas design business after adjusting for one fewer working day in the period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was $139 million and on an adjusted</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basis was a loss of $130 million. Excluding the Construction Management charge, the adjusted operating margin on net service revenue decreased by 250 basis points over the prior year to 18.0%. This decline is primarily driven by record amounts of business development activity and the timing of Construction Management project starts, which was partially offset by benefits from a continued focus on driving operating efficiencies across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in the Americas segment grew by 8% to a new record high, driven by a 1.8 book-to-burn ratio</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The Americas design business book-to-burn ratio was driven by strong wins across each of the Company’s transportation, water, environment and facilities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 the third quarter was $953 million, a 6% increase from the prior year. Net service revenue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$800 million, a 4% increase from the prior year, driven by strong growth in the U.K and Australian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increased by 21% over the prior year to $109 million and on an adjusted</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basis increased 26% to $114 million. The adjusted operating margin on net service revenue was 14.3%, an increase of 240 basis points, which included the benefits from improved growth and from restructuring actions taken within the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in the International segment grew 28% over the prior year to a new record high, driven by a 1.4 book-to-burn ratio</w:t>
      </w:r>
      <w:r>
        <w:rPr>
          <w:rFonts w:ascii="Times New Roman;Times;Serif" w:hAnsi="Times New Roman;Times;Serif"/>
          <w:b w:val="false"/>
          <w:i w:val="false"/>
          <w:caps w:val="false"/>
          <w:smallCaps w:val="false"/>
          <w:position w:val="7"/>
          <w:sz w:val="16"/>
          <w:sz w:val="20"/>
        </w:rPr>
        <w:t xml:space="preserve">7 </w:t>
      </w:r>
      <w:r>
        <w:rPr>
          <w:rFonts w:ascii="Times New Roman;Times;Serif" w:hAnsi="Times New Roman;Times;Serif"/>
          <w:b w:val="false"/>
          <w:i w:val="false"/>
          <w:caps w:val="false"/>
          <w:smallCaps w:val="false"/>
          <w:sz w:val="20"/>
        </w:rPr>
        <w:t>and strong wins in the U.K. and Middle East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was 24.9% in the third quarter. On an adjusted</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basis, the effective tax rate was 24.8%. The adjusted tax rate was derived by re-computing the quarterly effective tax rate on adjusted net income</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The adjusted tax expense differs from the GAAP tax expense based on the taxability or deductibility and tax rate applied to each of the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AECOM is hosting a conference call tomorrow at 8 a.m. Eastern Time, during which management will make a brief presentation focusing on the Company's results, strategy and operating trends, and outlook. Interested parties can listen to the conference call and view accompanying slides via webcast at </w:t>
      </w:r>
      <w:r>
        <w:rPr>
          <w:rFonts w:ascii="Times New Roman;Times;Serif" w:hAnsi="Times New Roman;Times;Serif"/>
          <w:b w:val="false"/>
          <w:i w:val="false"/>
          <w:caps w:val="false"/>
          <w:smallCaps w:val="false"/>
          <w:sz w:val="20"/>
          <w:u w:val="single"/>
        </w:rPr>
        <w:t>https://investors.aecom.com</w:t>
      </w:r>
      <w:r>
        <w:rPr>
          <w:rFonts w:ascii="Times New Roman;Times;Serif" w:hAnsi="Times New Roman;Times;Serif"/>
          <w:b w:val="false"/>
          <w:i w:val="false"/>
          <w:caps w:val="false"/>
          <w:smallCaps w:val="false"/>
          <w:sz w:val="20"/>
        </w:rPr>
        <w:t>. The webcast will be available for replay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Revenue, less pass-through revenue; growth rates are presented on a constant-currency basis, unless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Excludes the impact of certain items, such as restructuring costs, amortization of intangible assets, non-core AECOM Capital and other items. See Regulation G Information for a reconciliation of non-GAAP measures to the comparable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Reflects segment operating performance, excluding AECOM Capital and G&amp;A, and margins are presented on a net service revenue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Adjusted EBITDA margin includes non-controlling interests in EBITDA and is on a net service revenue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Net income before interest expense, tax expense,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Backlog represents the total value of work for which AECOM has been selected that is expected to be completed by consolidated subsidiaries and includes the proportionate share of work expected to be performed by unconsolidated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Book-to-burn ratio is defined as the dollar amount of wins divided by revenue recognized during the period, including revenue related to work performed in unconsolidated joint ventures and excludes the impact of the Construction Management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Free cash flow is defined as cash flow from operations less capital expenditures, net of proceeds from disposals of property and equipment; free cash flow conversion is defined as free cash flow divided by adjusted net income attributable to AECOM.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Net leverage is comprised of EBITDA as defined in the Company’s credit agreement dated October 17, 2014, as amended, and total debt on the Company’s financial statements, net of total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Inclusive of non-controlling interest deduction and adjusted for financing charges in interest expense, the amortization of intangible assets and is based on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AECOM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AECOM (NYSE: ACM) is the global infrastructure leader, committed to delivering a better world. As a trusted professional services firm powered by deep technical abilities, we solve our clients’ complex challenges in water, environment, energy, transportation and buildings. Our teams partner with public- and private-sector clients to create innovative, sustainable and resilient solutions throughout the project lifecycle – from advisory, planning, design and engineering to program and construction management. AECOM is a Fortune 500 firm that had revenue of $16.1 billion in fiscal year 2025. Learn more at aecom.com.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communication other than statements of historical fact are “forward-looking statements” for purposes of federal and state securities laws, including any statements that relate to our future revenues, expenditures and business trends; future reduction of our self-perform at-risk construction exposure; future accounting estimates; future contractual performance obligations; future conversions of backlog; future capital allocation priorities, including common stock repurchases, future trade receivables, future debt pay downs; future tax benefits and expenses, and the impact of future tax laws; future legal claims and insurance coverage; future costs savings; and other future economic and industry conditions. Although we believe that the expectations reflected in our forward-looking statements are reasonable, actual results could differ materially from those projected or assumed in any of our forward-looking statements. Important factors that could cause our actual results, performance and achievements, or industry results to differ materially from estimates or projections contained in our forward-looking statements include, but are not limited to, the following: our business is cyclical and vulnerable to economic downturns and client spending reductions; government shutdowns; changes in administration or other funding directives and circumstances that cause governmental agencies to modify, curtail or terminate our contracts; government contracts are subject to audits and adjustments of contractual terms; long-term government contracts are subject to uncertainties related to government contract appropriations; losses under fixed-price contracts; our ability to successfully and timely perform our contractual obligations and to recover claims for additional contract costs; potential liquidated damages under our contracts; limited control over operations run through our joint venture entities; liability for misconduct by our employees or consultants; changes in government laws, regulations and policies, including failure to comply with laws or regulations applicable to our business; maintaining adequate surety and financial capacity; potential high leverage and inability to service our debt and guarantees; our capital allocation strategy, including our ability to continue payment of dividends and repurchase stock; exposure to political and economic risks in different countries, including tariffs and trade policies, geopolitical events, and conflicts; inflation, currency exchange rates and interest rate fluctuations; changes in capital markets and stock market volatility; retaining and recruiting key technical and management personnel; legal claims and litigation; inadequate insurance coverage; environmental law compliance and inadequate nuclear indemnification; unexpected adjustments and cancellations related to our backlog; partners and third parties who may fail to satisfy their legal obligations; managing pension costs; AECOM Capital’s real estate development; cybersecurity issues, IT outages and data privacy; risks associated with the benefits and costs of the sale of our Management Services and self-perform at-risk civil infrastructure, power construction and oil and gas construction businesses, including the risk that any purchase adjustments from those transactions could be unfavorable and any future proceeds owed to us as part of the transactions could be lower than we expect; risks associated with our strategic initiatives, including AI investments and potential acquisitions and divestitures; as well as other additional risks and factors that could cause actual results to differ materially from our forward-looking statements set forth in our reports filed with the Securities and Exchange Commission. Any forward-looking statements are made as of the date hereof. We do not intend, and undertake no obligation, to update any forward-looking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financial information calculated other than in accordance with U.S. generally accepted accounting principles (“GAAP”). The Company believes that non-GAAP financial measures such as adjusted EPS, adjusted EBITDA, adjusted EBITDA margin, adjusted net/operating income, segment adjusted operating margin, adjusted tax rate, net service revenue and free cash flow provide a meaningful perspective on its business results as the Company utilizes this information to evaluate and manage the business. We use adjusted operating income, adjusted net income, adjusted EBITDA, adjusted EBITDA margin, and adjusted EPS to exclude the impact of certain items, such as amortization expense and taxes to aid investors in better understanding our core performance results. We use free cash flow to present the cash generated from operations after capital expenditures to maintain our business. We present net service revenue (NSR) to exclude pass-through subcontractor costs from revenue to provide investors with a better understanding of our operational performance. We present segment adjusted operating margin to reflect segment operating performance of our Americas and International segments, excluding AECOM Capital.  We present adjusted tax rate to reflect the tax rate on adjusted earnings. We also use constant-currency growth rates where appropriate, which are calculated by conforming the current period results to the comparable period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non-GAAP disclosure has limitations as an analytical tool, should not be viewed as a substitute for financial information determined in accordance with GAAP, and should not be considered in isolation or as a substitute for analysis of our results as reported under GAAP, nor is it necessarily comparable to non-GAAP performance measures that may be presented by other companies. A reconciliation of these non-GAAP measures is found in the Regulation G Information tables at the back of this communication. The Company is unable to reconcile certain of its non-GAAP financial guidance and long-term financial targets due to uncertainties in these non-operating items as well as other adjustments to net income. The Company is unable to provide a reconciliation of its guidance for NSR to GAAP revenue because it is unable to predict with reasonable certainty its pass-through revenue. In addition, the Company is unable to provide a reconciliation of its guidance for financial metrics excluding the Construction Management business due to uncertainties in these non-operating items as well as other adjustments to these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1"/>
        <w:gridCol w:w="60"/>
        <w:gridCol w:w="125"/>
        <w:gridCol w:w="845"/>
        <w:gridCol w:w="80"/>
        <w:gridCol w:w="60"/>
        <w:gridCol w:w="125"/>
        <w:gridCol w:w="845"/>
        <w:gridCol w:w="80"/>
        <w:gridCol w:w="60"/>
        <w:gridCol w:w="65"/>
        <w:gridCol w:w="600"/>
        <w:gridCol w:w="211"/>
        <w:gridCol w:w="60"/>
        <w:gridCol w:w="125"/>
        <w:gridCol w:w="950"/>
        <w:gridCol w:w="80"/>
        <w:gridCol w:w="60"/>
        <w:gridCol w:w="125"/>
        <w:gridCol w:w="950"/>
        <w:gridCol w:w="80"/>
        <w:gridCol w:w="60"/>
        <w:gridCol w:w="60"/>
        <w:gridCol w:w="650"/>
        <w:gridCol w:w="228"/>
      </w:tblGrid>
      <w:tr>
        <w:trPr/>
        <w:tc>
          <w:tcPr>
            <w:tcW w:w="3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br/>
              <w:t>Change</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br/>
              <w:t>Change</w:t>
            </w:r>
          </w:p>
        </w:tc>
        <w:tc>
          <w:tcPr>
            <w:tcW w:w="228"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3,586,067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4,178,440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11,218,044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11,964,205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3,620,109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3,851,490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10,674,596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11,078,090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28" w:type="dxa"/>
            <w:tcBorders/>
            <w:shd w:fill="FFFF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228"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joint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28"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NM </w:t>
            </w:r>
          </w:p>
        </w:tc>
        <w:tc>
          <w:tcPr>
            <w:tcW w:w="228"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228"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510.9</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(2446.1</w:t>
            </w:r>
          </w:p>
        </w:tc>
        <w:tc>
          <w:tcPr>
            <w:tcW w:w="228"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28"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continuing operations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268,765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 for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228"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498,481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ind w:left="0" w:right="0" w:hanging="180"/>
              <w:jc w:val="left"/>
              <w:rPr/>
            </w:pPr>
            <w:r>
              <w:rPr/>
              <w:t> </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228"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28"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ind w:left="0" w:right="0" w:hanging="200"/>
              <w:jc w:val="left"/>
              <w:rPr/>
            </w:pPr>
            <w:r>
              <w:rPr/>
              <w:t> </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AECOM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AECOM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AECOM</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(86,712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130,966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(166.2</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441,402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ind w:left="0" w:right="0" w:hanging="200"/>
              <w:jc w:val="left"/>
              <w:rPr/>
            </w:pPr>
            <w:r>
              <w:rPr/>
              <w:t> </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AECOM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ind w:left="0" w:right="0" w:hanging="202"/>
              <w:jc w:val="left"/>
              <w:rPr/>
            </w:pPr>
            <w:r>
              <w:rPr/>
              <w:t> </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continuing operations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(0.65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228"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discontinued operations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228" w:type="dxa"/>
            <w:tcBorders/>
            <w:shd w:fill="FFFF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(0.67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228"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ind w:left="0" w:right="0" w:hanging="202"/>
              <w:jc w:val="left"/>
              <w:rPr/>
            </w:pPr>
            <w:r>
              <w:rPr/>
              <w:t> </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continuing operations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(0.65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228"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discontinued operations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228" w:type="dxa"/>
            <w:tcBorders/>
            <w:shd w:fill="FFFF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(0.67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228"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ind w:left="0" w:right="0" w:hanging="200"/>
              <w:jc w:val="left"/>
              <w:rPr/>
            </w:pPr>
            <w:r>
              <w:rPr/>
              <w:t> </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ind w:left="0" w:right="0" w:hanging="200"/>
              <w:jc w:val="left"/>
              <w:rPr/>
            </w:pPr>
            <w:r>
              <w:rPr/>
              <w:t> </w:t>
            </w:r>
          </w:p>
        </w:tc>
      </w:tr>
      <w:tr>
        <w:trPr/>
        <w:tc>
          <w:tcPr>
            <w:tcW w:w="3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28"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 in thousands)</w:t>
      </w:r>
    </w:p>
    <w:p>
      <w:pPr>
        <w:pStyle w:val="TextBody"/>
        <w:bidi w:val="0"/>
        <w:spacing w:before="0" w:after="0"/>
        <w:ind w:left="0" w:right="0" w:hanging="0"/>
        <w:jc w:val="left"/>
        <w:rPr>
          <w:caps w:val="false"/>
          <w:smallCaps w:val="false"/>
        </w:rPr>
      </w:pPr>
      <w:r>
        <w:rPr>
          <w:caps w:val="false"/>
          <w:smallCaps w:val="false"/>
        </w:rPr>
        <w:t> </w:t>
      </w:r>
    </w:p>
    <w:tbl>
      <w:tblPr>
        <w:tblW w:w="7573" w:type="dxa"/>
        <w:jc w:val="left"/>
        <w:tblInd w:w="0" w:type="dxa"/>
        <w:tblLayout w:type="fixed"/>
        <w:tblCellMar>
          <w:top w:w="0" w:type="dxa"/>
          <w:left w:w="0" w:type="dxa"/>
          <w:bottom w:w="0" w:type="dxa"/>
          <w:right w:w="0" w:type="dxa"/>
        </w:tblCellMar>
      </w:tblPr>
      <w:tblGrid>
        <w:gridCol w:w="4445"/>
        <w:gridCol w:w="60"/>
        <w:gridCol w:w="138"/>
        <w:gridCol w:w="1051"/>
        <w:gridCol w:w="60"/>
        <w:gridCol w:w="60"/>
        <w:gridCol w:w="194"/>
        <w:gridCol w:w="1490"/>
        <w:gridCol w:w="7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 Information: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1,585,739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4,504,507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4,282,326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801,411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 excluding unamortized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2,745,196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2,743,719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12,026,900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12,200,249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AECOM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2,193,260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2,492,584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Reportable Segments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 in thousands)</w:t>
      </w:r>
    </w:p>
    <w:p>
      <w:pPr>
        <w:pStyle w:val="TextBody"/>
        <w:bidi w:val="0"/>
        <w:spacing w:before="0" w:after="0"/>
        <w:ind w:left="0" w:right="0" w:hanging="0"/>
        <w:jc w:val="left"/>
        <w:rPr>
          <w:caps w:val="false"/>
          <w:smallCaps w:val="false"/>
        </w:rPr>
      </w:pPr>
      <w:r>
        <w:rPr>
          <w:caps w:val="false"/>
          <w:smallCaps w:val="false"/>
        </w:rPr>
        <w:t> </w:t>
      </w:r>
    </w:p>
    <w:tbl>
      <w:tblPr>
        <w:tblW w:w="9500" w:type="dxa"/>
        <w:jc w:val="left"/>
        <w:tblInd w:w="0" w:type="dxa"/>
        <w:tblLayout w:type="fixed"/>
        <w:tblCellMar>
          <w:top w:w="0" w:type="dxa"/>
          <w:left w:w="0" w:type="dxa"/>
          <w:bottom w:w="0" w:type="dxa"/>
          <w:right w:w="0" w:type="dxa"/>
        </w:tblCellMar>
      </w:tblPr>
      <w:tblGrid>
        <w:gridCol w:w="3395"/>
        <w:gridCol w:w="60"/>
        <w:gridCol w:w="125"/>
        <w:gridCol w:w="950"/>
        <w:gridCol w:w="245"/>
        <w:gridCol w:w="60"/>
        <w:gridCol w:w="147"/>
        <w:gridCol w:w="998"/>
        <w:gridCol w:w="185"/>
        <w:gridCol w:w="60"/>
        <w:gridCol w:w="140"/>
        <w:gridCol w:w="615"/>
        <w:gridCol w:w="80"/>
        <w:gridCol w:w="60"/>
        <w:gridCol w:w="128"/>
        <w:gridCol w:w="777"/>
        <w:gridCol w:w="80"/>
        <w:gridCol w:w="60"/>
        <w:gridCol w:w="125"/>
        <w:gridCol w:w="950"/>
        <w:gridCol w:w="260"/>
      </w:tblGrid>
      <w:tr>
        <w:trPr/>
        <w:tc>
          <w:tcPr>
            <w:tcW w:w="3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b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2,632,802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953,045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3,586,067</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2,775,826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844,283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3,620,109</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(143,024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(34,042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(loss) of joint ventures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4,512</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(34,369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(138,651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108,682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 as a %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3,277,136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901,198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4,178,440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3,038,353</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813,137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3,851,490</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326,950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joint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5,290</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(38,163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240,981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294,077</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8,521,658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2,696,166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11,218,044</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8,231,988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2,442,572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10,674,596</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289,670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253,594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543,448</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joint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13,730</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23,461</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(119,508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(53,580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303,400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261,689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393,821</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Contracted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8,861,199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4,868,883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13,730,082</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Awarded backlog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10,479,904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3,606,122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14,086,026</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19,341,103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8,475,005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27,816,108</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backlog – Design only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17,661,072</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8,475,005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26,136,077</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9,285,863</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2,677,941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11,964,205</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8,644,327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2,433,763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11,078,090</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641,536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244,178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886,115</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joint ventures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21,707</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(118,676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654,107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253,249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789,146</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Contracted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8,836,509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4,614,568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13,451,077</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Awarded backlog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9,136,644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2,000,150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11,136,794</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17,973,153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6,614,718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24,587,871</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backlog – Design only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16,499,843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6,614,718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23,114,561</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G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Revenue to Net Service Revenue (NSR)</w:t>
      </w:r>
    </w:p>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3365"/>
        <w:gridCol w:w="60"/>
        <w:gridCol w:w="125"/>
        <w:gridCol w:w="635"/>
        <w:gridCol w:w="60"/>
        <w:gridCol w:w="60"/>
        <w:gridCol w:w="125"/>
        <w:gridCol w:w="635"/>
        <w:gridCol w:w="60"/>
        <w:gridCol w:w="60"/>
        <w:gridCol w:w="125"/>
        <w:gridCol w:w="635"/>
        <w:gridCol w:w="60"/>
        <w:gridCol w:w="60"/>
        <w:gridCol w:w="125"/>
        <w:gridCol w:w="740"/>
        <w:gridCol w:w="60"/>
        <w:gridCol w:w="60"/>
        <w:gridCol w:w="125"/>
        <w:gridCol w:w="740"/>
        <w:gridCol w:w="75"/>
      </w:tblGrid>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Americas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Pass-through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service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International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Pass-through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service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Segment Performance (excludes ACAP)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Pass-through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service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Pass-through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service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Total Debt to Net Debt</w:t>
      </w:r>
    </w:p>
    <w:p>
      <w:pPr>
        <w:pStyle w:val="TextBody"/>
        <w:bidi w:val="0"/>
        <w:spacing w:before="0" w:after="283"/>
        <w:jc w:val="left"/>
        <w:rPr/>
      </w:pPr>
      <w:r>
        <w:rPr/>
        <w:t> </w:t>
      </w:r>
    </w:p>
    <w:tbl>
      <w:tblPr>
        <w:tblW w:w="8597" w:type="dxa"/>
        <w:jc w:val="left"/>
        <w:tblInd w:w="0" w:type="dxa"/>
        <w:tblLayout w:type="fixed"/>
        <w:tblCellMar>
          <w:top w:w="0" w:type="dxa"/>
          <w:left w:w="0" w:type="dxa"/>
          <w:bottom w:w="0" w:type="dxa"/>
          <w:right w:w="0" w:type="dxa"/>
        </w:tblCellMar>
      </w:tblPr>
      <w:tblGrid>
        <w:gridCol w:w="4865"/>
        <w:gridCol w:w="60"/>
        <w:gridCol w:w="180"/>
        <w:gridCol w:w="919"/>
        <w:gridCol w:w="60"/>
        <w:gridCol w:w="60"/>
        <w:gridCol w:w="190"/>
        <w:gridCol w:w="969"/>
        <w:gridCol w:w="60"/>
        <w:gridCol w:w="60"/>
        <w:gridCol w:w="180"/>
        <w:gridCol w:w="919"/>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9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excluding unamortized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Total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Net Cash Provided by Operating Activities to Free Cash Flow</w:t>
      </w:r>
    </w:p>
    <w:p>
      <w:pPr>
        <w:pStyle w:val="TextBody"/>
        <w:bidi w:val="0"/>
        <w:spacing w:before="0" w:after="283"/>
        <w:jc w:val="left"/>
        <w:rPr/>
      </w:pPr>
      <w:r>
        <w:rPr/>
        <w:t> </w:t>
      </w:r>
    </w:p>
    <w:tbl>
      <w:tblPr>
        <w:tblW w:w="7584" w:type="dxa"/>
        <w:jc w:val="left"/>
        <w:tblInd w:w="0" w:type="dxa"/>
        <w:tblLayout w:type="fixed"/>
        <w:tblCellMar>
          <w:top w:w="0" w:type="dxa"/>
          <w:left w:w="0" w:type="dxa"/>
          <w:bottom w:w="0" w:type="dxa"/>
          <w:right w:w="0" w:type="dxa"/>
        </w:tblCellMar>
      </w:tblPr>
      <w:tblGrid>
        <w:gridCol w:w="3380"/>
        <w:gridCol w:w="60"/>
        <w:gridCol w:w="140"/>
        <w:gridCol w:w="494"/>
        <w:gridCol w:w="80"/>
        <w:gridCol w:w="60"/>
        <w:gridCol w:w="153"/>
        <w:gridCol w:w="541"/>
        <w:gridCol w:w="80"/>
        <w:gridCol w:w="60"/>
        <w:gridCol w:w="130"/>
        <w:gridCol w:w="504"/>
        <w:gridCol w:w="80"/>
        <w:gridCol w:w="60"/>
        <w:gridCol w:w="153"/>
        <w:gridCol w:w="595"/>
        <w:gridCol w:w="98"/>
        <w:gridCol w:w="73"/>
        <w:gridCol w:w="153"/>
        <w:gridCol w:w="595"/>
        <w:gridCol w:w="9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G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10"/>
        <w:gridCol w:w="60"/>
        <w:gridCol w:w="125"/>
        <w:gridCol w:w="545"/>
        <w:gridCol w:w="80"/>
        <w:gridCol w:w="60"/>
        <w:gridCol w:w="131"/>
        <w:gridCol w:w="512"/>
        <w:gridCol w:w="80"/>
        <w:gridCol w:w="60"/>
        <w:gridCol w:w="127"/>
        <w:gridCol w:w="492"/>
        <w:gridCol w:w="80"/>
        <w:gridCol w:w="60"/>
        <w:gridCol w:w="136"/>
        <w:gridCol w:w="529"/>
        <w:gridCol w:w="87"/>
        <w:gridCol w:w="65"/>
        <w:gridCol w:w="136"/>
        <w:gridCol w:w="529"/>
        <w:gridCol w:w="101"/>
      </w:tblGrid>
      <w:tr>
        <w:trPr/>
        <w:tc>
          <w:tcPr>
            <w:tcW w:w="6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Income from Operations to Adjusted Income from Operations to Adjusted EBITDA with Noncontrolling Interests (NCI) to 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(loss)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included in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with noncontrolling interests (NCI)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926.4</w:t>
            </w:r>
          </w:p>
        </w:tc>
        <w:tc>
          <w:tcPr>
            <w:tcW w:w="101" w:type="dxa"/>
            <w:tcBorders/>
            <w:shd w:fill="FFFFFF" w:val="clear"/>
            <w:vAlign w:val="center"/>
          </w:tcPr>
          <w:p>
            <w:pPr>
              <w:pStyle w:val="TableContents"/>
              <w:bidi w:val="0"/>
              <w:spacing w:before="0" w:after="283"/>
              <w:ind w:left="0" w:right="0" w:hanging="90"/>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NCI from continuing operations excluding interest income included in NCI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Income from Continuing Operations Before Taxes to Adjusted Income from Continuing Operations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continuing operations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charges in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(loss) income from continuing operations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Income Taxes for Continuing Operations to Adjusted Income Taxes for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 for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w:t>
            </w:r>
          </w:p>
        </w:tc>
        <w:tc>
          <w:tcPr>
            <w:tcW w:w="101" w:type="dxa"/>
            <w:tcBorders/>
            <w:shd w:fill="FFFFFF" w:val="clear"/>
            <w:vAlign w:val="center"/>
          </w:tcPr>
          <w:p>
            <w:pPr>
              <w:pStyle w:val="TableContents"/>
              <w:bidi w:val="0"/>
              <w:spacing w:before="0" w:after="283"/>
              <w:ind w:left="0" w:right="0" w:hanging="90"/>
              <w:jc w:val="left"/>
              <w:rPr>
                <w:caps w:val="false"/>
                <w:smallCaps w:val="false"/>
              </w:rPr>
            </w:pPr>
            <w:r>
              <w:rPr>
                <w:caps w:val="false"/>
                <w:smallCaps w:val="false"/>
              </w:rPr>
              <w:t> </w:t>
            </w:r>
          </w:p>
        </w:tc>
      </w:tr>
      <w:tr>
        <w:trPr/>
        <w:tc>
          <w:tcPr>
            <w:tcW w:w="6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the above adjustments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and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income tax (benefit) expense for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Adjusts the income taxes during the period to exclude the impact on our effective tax rate of the pre-tax adjustments shown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G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97"/>
        <w:gridCol w:w="60"/>
        <w:gridCol w:w="131"/>
        <w:gridCol w:w="462"/>
        <w:gridCol w:w="80"/>
        <w:gridCol w:w="60"/>
        <w:gridCol w:w="131"/>
        <w:gridCol w:w="512"/>
        <w:gridCol w:w="80"/>
        <w:gridCol w:w="60"/>
        <w:gridCol w:w="127"/>
        <w:gridCol w:w="492"/>
        <w:gridCol w:w="80"/>
        <w:gridCol w:w="60"/>
        <w:gridCol w:w="136"/>
        <w:gridCol w:w="530"/>
        <w:gridCol w:w="87"/>
        <w:gridCol w:w="65"/>
        <w:gridCol w:w="136"/>
        <w:gridCol w:w="530"/>
        <w:gridCol w:w="89"/>
      </w:tblGrid>
      <w:tr>
        <w:trPr/>
        <w:tc>
          <w:tcPr>
            <w:tcW w:w="6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Net Income Attributable to AECOM from Continuing Operations to Adjusted Net Income Attributable to AECOM from Continuing Operations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6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AECOM from continuing operations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sz w:val="20"/>
              </w:rPr>
            </w:pPr>
            <w:r>
              <w:rPr>
                <w:sz w:val="20"/>
              </w:rPr>
              <w:t>$</w:t>
            </w:r>
          </w:p>
        </w:tc>
        <w:tc>
          <w:tcPr>
            <w:tcW w:w="462" w:type="dxa"/>
            <w:tcBorders/>
            <w:shd w:fill="FFFFFF" w:val="clear"/>
            <w:vAlign w:val="center"/>
          </w:tcPr>
          <w:p>
            <w:pPr>
              <w:pStyle w:val="TableContents"/>
              <w:bidi w:val="0"/>
              <w:spacing w:before="0" w:after="283"/>
              <w:jc w:val="right"/>
              <w:rPr>
                <w:sz w:val="20"/>
              </w:rPr>
            </w:pPr>
            <w:r>
              <w:rPr>
                <w:sz w:val="20"/>
              </w:rPr>
              <w:t>(83.9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 loss, net of NCI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charges in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the above adjustments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and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income attributable to AECOM from continuing operations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(63.8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Adjusts the income taxes during the period to exclude the impact on our effective tax rate of the pre-tax adjustments shown above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73"/>
        <w:gridCol w:w="60"/>
        <w:gridCol w:w="125"/>
        <w:gridCol w:w="485"/>
        <w:gridCol w:w="80"/>
        <w:gridCol w:w="60"/>
        <w:gridCol w:w="125"/>
        <w:gridCol w:w="485"/>
        <w:gridCol w:w="80"/>
        <w:gridCol w:w="60"/>
        <w:gridCol w:w="125"/>
        <w:gridCol w:w="485"/>
        <w:gridCol w:w="60"/>
        <w:gridCol w:w="60"/>
        <w:gridCol w:w="125"/>
        <w:gridCol w:w="485"/>
        <w:gridCol w:w="80"/>
        <w:gridCol w:w="60"/>
        <w:gridCol w:w="125"/>
        <w:gridCol w:w="485"/>
        <w:gridCol w:w="82"/>
      </w:tblGrid>
      <w:tr>
        <w:trPr/>
        <w:tc>
          <w:tcPr>
            <w:tcW w:w="64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Net Income Attributable to AECOM from Continuing Operations per Diluted Share to Adjusted Net Income Attributable to AECOM from Continuing Operations per Diluted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64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AECOM from continuing operations per diluted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diluted share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64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 loss, net of NCI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charges in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the above adjustments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and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income attributable to AECOM from continuing operations per diluted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4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Adjusts the income taxes during the period to exclude the impact on our effective tax rate of the pre-tax adjustments shown above.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85"/>
        <w:gridCol w:w="60"/>
        <w:gridCol w:w="125"/>
        <w:gridCol w:w="440"/>
        <w:gridCol w:w="80"/>
        <w:gridCol w:w="60"/>
        <w:gridCol w:w="125"/>
        <w:gridCol w:w="485"/>
        <w:gridCol w:w="80"/>
        <w:gridCol w:w="60"/>
        <w:gridCol w:w="125"/>
        <w:gridCol w:w="485"/>
        <w:gridCol w:w="80"/>
        <w:gridCol w:w="60"/>
        <w:gridCol w:w="125"/>
        <w:gridCol w:w="485"/>
        <w:gridCol w:w="80"/>
        <w:gridCol w:w="60"/>
        <w:gridCol w:w="125"/>
        <w:gridCol w:w="485"/>
        <w:gridCol w:w="95"/>
      </w:tblGrid>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Net Income Attributable to AECOM from Continuing Operations to 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AECOM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440" w:type="dxa"/>
            <w:tcBorders/>
            <w:shd w:fill="FFFFFF" w:val="clear"/>
            <w:vAlign w:val="center"/>
          </w:tcPr>
          <w:p>
            <w:pPr>
              <w:pStyle w:val="TableContents"/>
              <w:bidi w:val="0"/>
              <w:spacing w:before="0" w:after="283"/>
              <w:jc w:val="right"/>
              <w:rPr>
                <w:sz w:val="20"/>
              </w:rPr>
            </w:pPr>
            <w:r>
              <w:rPr>
                <w:sz w:val="20"/>
              </w:rPr>
              <w:t>(83.9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of NCI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Amortized bank fees included in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 loss, net of NCI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included in 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G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6"/>
        <w:gridCol w:w="60"/>
        <w:gridCol w:w="125"/>
        <w:gridCol w:w="545"/>
        <w:gridCol w:w="80"/>
        <w:gridCol w:w="60"/>
        <w:gridCol w:w="136"/>
        <w:gridCol w:w="531"/>
        <w:gridCol w:w="60"/>
        <w:gridCol w:w="60"/>
        <w:gridCol w:w="128"/>
        <w:gridCol w:w="498"/>
        <w:gridCol w:w="60"/>
        <w:gridCol w:w="60"/>
        <w:gridCol w:w="145"/>
        <w:gridCol w:w="568"/>
        <w:gridCol w:w="69"/>
        <w:gridCol w:w="69"/>
        <w:gridCol w:w="145"/>
        <w:gridCol w:w="568"/>
        <w:gridCol w:w="82"/>
      </w:tblGrid>
      <w:tr>
        <w:trPr/>
        <w:tc>
          <w:tcPr>
            <w:tcW w:w="6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7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Segment Income from Operations to Adjusted Segment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15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Americas Segment: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(loss)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(138.7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20"/>
              </w:rPr>
            </w:pPr>
            <w:r>
              <w:rPr>
                <w:sz w:val="20"/>
              </w:rPr>
              <w:t>$</w:t>
            </w:r>
          </w:p>
        </w:tc>
        <w:tc>
          <w:tcPr>
            <w:tcW w:w="531" w:type="dxa"/>
            <w:tcBorders/>
            <w:shd w:fill="CCEEFF" w:val="clear"/>
            <w:vAlign w:val="center"/>
          </w:tcPr>
          <w:p>
            <w:pPr>
              <w:pStyle w:val="TableContents"/>
              <w:bidi w:val="0"/>
              <w:spacing w:before="0" w:after="283"/>
              <w:jc w:val="right"/>
              <w:rPr>
                <w:sz w:val="20"/>
              </w:rPr>
            </w:pPr>
            <w:r>
              <w:rPr>
                <w:sz w:val="20"/>
              </w:rPr>
              <w:t>227.9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498" w:type="dxa"/>
            <w:tcBorders/>
            <w:shd w:fill="CCEEFF" w:val="clear"/>
            <w:vAlign w:val="center"/>
          </w:tcPr>
          <w:p>
            <w:pPr>
              <w:pStyle w:val="TableContents"/>
              <w:bidi w:val="0"/>
              <w:spacing w:before="0" w:after="283"/>
              <w:jc w:val="right"/>
              <w:rPr>
                <w:sz w:val="20"/>
              </w:rPr>
            </w:pPr>
            <w:r>
              <w:rPr>
                <w:sz w:val="20"/>
              </w:rPr>
              <w:t>240.9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segment (loss)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655.9</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45" w:type="dxa"/>
            <w:tcBorders/>
            <w:shd w:fill="FFFFFF" w:val="clear"/>
            <w:vAlign w:val="center"/>
          </w:tcPr>
          <w:p>
            <w:pPr>
              <w:pStyle w:val="TableContents"/>
              <w:bidi w:val="0"/>
              <w:spacing w:before="0" w:after="283"/>
              <w:jc w:val="right"/>
              <w:rPr>
                <w:sz w:val="20"/>
              </w:rPr>
            </w:pPr>
            <w:r>
              <w:rPr>
                <w:sz w:val="20"/>
              </w:rPr>
              <w:t>108.7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sz w:val="20"/>
              </w:rPr>
            </w:pPr>
            <w:r>
              <w:rPr>
                <w:sz w:val="20"/>
              </w:rPr>
              <w:t>$</w:t>
            </w:r>
          </w:p>
        </w:tc>
        <w:tc>
          <w:tcPr>
            <w:tcW w:w="531" w:type="dxa"/>
            <w:tcBorders/>
            <w:shd w:fill="FFFFFF" w:val="clear"/>
            <w:vAlign w:val="center"/>
          </w:tcPr>
          <w:p>
            <w:pPr>
              <w:pStyle w:val="TableContents"/>
              <w:bidi w:val="0"/>
              <w:spacing w:before="0" w:after="283"/>
              <w:jc w:val="right"/>
              <w:rPr>
                <w:sz w:val="20"/>
              </w:rPr>
            </w:pPr>
            <w:r>
              <w:rPr>
                <w:sz w:val="20"/>
              </w:rPr>
              <w:t>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sz w:val="20"/>
              </w:rPr>
            </w:pPr>
            <w:r>
              <w:rPr>
                <w:sz w:val="20"/>
              </w:rPr>
              <w:t>$</w:t>
            </w:r>
          </w:p>
        </w:tc>
        <w:tc>
          <w:tcPr>
            <w:tcW w:w="498" w:type="dxa"/>
            <w:tcBorders/>
            <w:shd w:fill="FFFFFF" w:val="clear"/>
            <w:vAlign w:val="center"/>
          </w:tcPr>
          <w:p>
            <w:pPr>
              <w:pStyle w:val="TableContents"/>
              <w:bidi w:val="0"/>
              <w:spacing w:before="0" w:after="283"/>
              <w:jc w:val="right"/>
              <w:rPr>
                <w:sz w:val="20"/>
              </w:rPr>
            </w:pPr>
            <w:r>
              <w:rPr>
                <w:sz w:val="20"/>
              </w:rPr>
              <w:t>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20"/>
              </w:rPr>
            </w:pPr>
            <w:r>
              <w:rPr>
                <w:sz w:val="20"/>
              </w:rPr>
              <w:t>$</w:t>
            </w:r>
          </w:p>
        </w:tc>
        <w:tc>
          <w:tcPr>
            <w:tcW w:w="568" w:type="dxa"/>
            <w:tcBorders/>
            <w:shd w:fill="FFFFFF" w:val="clear"/>
            <w:vAlign w:val="center"/>
          </w:tcPr>
          <w:p>
            <w:pPr>
              <w:pStyle w:val="TableContents"/>
              <w:bidi w:val="0"/>
              <w:spacing w:before="0" w:after="283"/>
              <w:jc w:val="right"/>
              <w:rPr>
                <w:sz w:val="20"/>
              </w:rPr>
            </w:pPr>
            <w:r>
              <w:rPr>
                <w:sz w:val="20"/>
              </w:rPr>
              <w:t>261.7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segment 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3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278.5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15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Performance (excludes ACAP &amp; G&amp;A):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(loss)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(30.0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498" w:type="dxa"/>
            <w:tcBorders/>
            <w:shd w:fill="CCEEFF" w:val="clear"/>
            <w:vAlign w:val="center"/>
          </w:tcPr>
          <w:p>
            <w:pPr>
              <w:pStyle w:val="TableContents"/>
              <w:bidi w:val="0"/>
              <w:spacing w:before="0" w:after="283"/>
              <w:jc w:val="right"/>
              <w:rPr>
                <w:sz w:val="20"/>
              </w:rPr>
            </w:pPr>
            <w:r>
              <w:rPr>
                <w:sz w:val="20"/>
              </w:rPr>
              <w:t>331.1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20"/>
              </w:rPr>
            </w:pPr>
            <w:r>
              <w:rPr>
                <w:sz w:val="20"/>
              </w:rPr>
              <w:t>$</w:t>
            </w:r>
          </w:p>
        </w:tc>
        <w:tc>
          <w:tcPr>
            <w:tcW w:w="568" w:type="dxa"/>
            <w:tcBorders/>
            <w:shd w:fill="CCEEFF" w:val="clear"/>
            <w:vAlign w:val="center"/>
          </w:tcPr>
          <w:p>
            <w:pPr>
              <w:pStyle w:val="TableContents"/>
              <w:bidi w:val="0"/>
              <w:spacing w:before="0" w:after="283"/>
              <w:jc w:val="right"/>
              <w:rPr>
                <w:sz w:val="20"/>
              </w:rPr>
            </w:pPr>
            <w:r>
              <w:rPr>
                <w:sz w:val="20"/>
              </w:rPr>
              <w:t>565.0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segment (loss) 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609.0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AECOM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FY2026 GAAP EPS Guidance based on Adjusted EPS Guidance</w:t>
      </w:r>
    </w:p>
    <w:p>
      <w:pPr>
        <w:pStyle w:val="TextBody"/>
        <w:bidi w:val="0"/>
        <w:jc w:val="left"/>
        <w:rPr>
          <w:rFonts w:ascii="Times New Roman;Times;Serif" w:hAnsi="Times New Roman;Times;Serif"/>
          <w:sz w:val="20"/>
        </w:rPr>
      </w:pPr>
      <w:r>
        <w:rPr>
          <w:rFonts w:ascii="Times New Roman;Times;Serif" w:hAnsi="Times New Roman;Times;Serif"/>
          <w:sz w:val="20"/>
        </w:rPr>
        <w:t>(all figures approximate)</w:t>
      </w:r>
    </w:p>
    <w:p>
      <w:pPr>
        <w:pStyle w:val="TextBody"/>
        <w:bidi w:val="0"/>
        <w:spacing w:before="0" w:after="283"/>
        <w:jc w:val="left"/>
        <w:rPr/>
      </w:pPr>
      <w:r>
        <w:rPr/>
        <w:t> </w:t>
      </w:r>
    </w:p>
    <w:tbl>
      <w:tblPr>
        <w:tblW w:w="5140" w:type="dxa"/>
        <w:jc w:val="left"/>
        <w:tblInd w:w="0" w:type="dxa"/>
        <w:tblLayout w:type="fixed"/>
        <w:tblCellMar>
          <w:top w:w="0" w:type="dxa"/>
          <w:left w:w="0" w:type="dxa"/>
          <w:bottom w:w="0" w:type="dxa"/>
          <w:right w:w="0" w:type="dxa"/>
        </w:tblCellMar>
      </w:tblPr>
      <w:tblGrid>
        <w:gridCol w:w="3215"/>
        <w:gridCol w:w="60"/>
        <w:gridCol w:w="186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 2026</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EPS guidance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 to $2.87</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 excludes:</w:t>
            </w:r>
          </w:p>
        </w:tc>
        <w:tc>
          <w:tcPr>
            <w:tcW w:w="60"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financing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to $1.16</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the above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 to ($0.29)</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 guidance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double" w:sz="6" w:space="0" w:color="000000"/>
            </w:tcBorders>
            <w:shd w:fill="CCEEFF" w:val="clear"/>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$3.95 to $4.15</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FY2026 GAAP Net Income from Continuing Operations Guidance based on Adjusted EBITDA Guidance </w:t>
      </w:r>
    </w:p>
    <w:p>
      <w:pPr>
        <w:pStyle w:val="TextBody"/>
        <w:bidi w:val="0"/>
        <w:jc w:val="left"/>
        <w:rPr>
          <w:rFonts w:ascii="Times New Roman;Times;Serif" w:hAnsi="Times New Roman;Times;Serif"/>
          <w:sz w:val="20"/>
        </w:rPr>
      </w:pPr>
      <w:r>
        <w:rPr>
          <w:rFonts w:ascii="Times New Roman;Times;Serif" w:hAnsi="Times New Roman;Times;Serif"/>
          <w:sz w:val="20"/>
        </w:rPr>
        <w:t>(in millions, all figures approximate)</w:t>
      </w:r>
    </w:p>
    <w:p>
      <w:pPr>
        <w:pStyle w:val="TextBody"/>
        <w:bidi w:val="0"/>
        <w:spacing w:before="0" w:after="283"/>
        <w:jc w:val="left"/>
        <w:rPr/>
      </w:pPr>
      <w:r>
        <w:rPr/>
        <w:t> </w:t>
      </w:r>
    </w:p>
    <w:tbl>
      <w:tblPr>
        <w:tblW w:w="8680" w:type="dxa"/>
        <w:jc w:val="left"/>
        <w:tblInd w:w="0" w:type="dxa"/>
        <w:tblLayout w:type="fixed"/>
        <w:tblCellMar>
          <w:top w:w="0" w:type="dxa"/>
          <w:left w:w="0" w:type="dxa"/>
          <w:bottom w:w="0" w:type="dxa"/>
          <w:right w:w="0" w:type="dxa"/>
        </w:tblCellMar>
      </w:tblPr>
      <w:tblGrid>
        <w:gridCol w:w="6755"/>
        <w:gridCol w:w="60"/>
        <w:gridCol w:w="1865"/>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 2026</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from continuing operations guidance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 to $419</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ind w:left="0" w:right="0" w:hanging="17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AECOM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CCEEFF" w:val="clear"/>
            <w:tcMar>
              <w:bottom w:w="28" w:type="dxa"/>
            </w:tcMar>
            <w:vAlign w:val="center"/>
          </w:tcPr>
          <w:p>
            <w:pPr>
              <w:pStyle w:val="TableContents"/>
              <w:bidi w:val="0"/>
              <w:spacing w:before="0" w:after="283"/>
              <w:ind w:left="0" w:right="0" w:hanging="17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 to $374</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attributable to AECOM from continuing operations excludes:</w:t>
            </w:r>
          </w:p>
        </w:tc>
        <w:tc>
          <w:tcPr>
            <w:tcW w:w="60"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financing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Noncore AECOM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to $150</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the above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to ($38)</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attributable to AECOM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to $539</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excludes:</w:t>
            </w:r>
          </w:p>
        </w:tc>
        <w:tc>
          <w:tcPr>
            <w:tcW w:w="60"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including tax effect of above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to $126</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guidance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double" w:sz="6"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$935 to $965</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FY2026 GAAP Interest Expense Guidance based on Adjusted Interest Expense Guidance</w:t>
      </w:r>
    </w:p>
    <w:p>
      <w:pPr>
        <w:pStyle w:val="TextBody"/>
        <w:bidi w:val="0"/>
        <w:jc w:val="left"/>
        <w:rPr>
          <w:rFonts w:ascii="Times New Roman;Times;Serif" w:hAnsi="Times New Roman;Times;Serif"/>
          <w:sz w:val="20"/>
        </w:rPr>
      </w:pPr>
      <w:r>
        <w:rPr>
          <w:rFonts w:ascii="Times New Roman;Times;Serif" w:hAnsi="Times New Roman;Times;Serif"/>
          <w:sz w:val="20"/>
        </w:rPr>
        <w:t>(in millions, all figures approximate)</w:t>
      </w:r>
    </w:p>
    <w:p>
      <w:pPr>
        <w:pStyle w:val="TextBody"/>
        <w:bidi w:val="0"/>
        <w:spacing w:before="0" w:after="283"/>
        <w:jc w:val="left"/>
        <w:rPr/>
      </w:pPr>
      <w:r>
        <w:rPr/>
        <w:t> </w:t>
      </w:r>
    </w:p>
    <w:tbl>
      <w:tblPr>
        <w:tblW w:w="5185" w:type="dxa"/>
        <w:jc w:val="left"/>
        <w:tblInd w:w="0" w:type="dxa"/>
        <w:tblLayout w:type="fixed"/>
        <w:tblCellMar>
          <w:top w:w="0" w:type="dxa"/>
          <w:left w:w="0" w:type="dxa"/>
          <w:bottom w:w="0" w:type="dxa"/>
          <w:right w:w="0" w:type="dxa"/>
        </w:tblCellMar>
      </w:tblPr>
      <w:tblGrid>
        <w:gridCol w:w="3260"/>
        <w:gridCol w:w="60"/>
        <w:gridCol w:w="186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 2026</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interest expense guidance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charges in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of NCI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interest expense guidance,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double" w:sz="6"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FY2026 GAAP Income Tax Guidance based on Adjusted Income Tax Guidance</w:t>
      </w:r>
    </w:p>
    <w:p>
      <w:pPr>
        <w:pStyle w:val="TextBody"/>
        <w:bidi w:val="0"/>
        <w:jc w:val="left"/>
        <w:rPr>
          <w:rFonts w:ascii="Times New Roman;Times;Serif" w:hAnsi="Times New Roman;Times;Serif"/>
          <w:sz w:val="20"/>
        </w:rPr>
      </w:pPr>
      <w:r>
        <w:rPr>
          <w:rFonts w:ascii="Times New Roman;Times;Serif" w:hAnsi="Times New Roman;Times;Serif"/>
          <w:sz w:val="20"/>
        </w:rPr>
        <w:t>(in millions, all figures approximate)</w:t>
      </w:r>
    </w:p>
    <w:p>
      <w:pPr>
        <w:pStyle w:val="TextBody"/>
        <w:bidi w:val="0"/>
        <w:spacing w:before="0" w:after="283"/>
        <w:jc w:val="left"/>
        <w:rPr/>
      </w:pPr>
      <w:r>
        <w:rPr/>
        <w:t> </w:t>
      </w:r>
    </w:p>
    <w:tbl>
      <w:tblPr>
        <w:tblW w:w="5140" w:type="dxa"/>
        <w:jc w:val="left"/>
        <w:tblInd w:w="0" w:type="dxa"/>
        <w:tblLayout w:type="fixed"/>
        <w:tblCellMar>
          <w:top w:w="0" w:type="dxa"/>
          <w:left w:w="0" w:type="dxa"/>
          <w:bottom w:w="0" w:type="dxa"/>
          <w:right w:w="0" w:type="dxa"/>
        </w:tblCellMar>
      </w:tblPr>
      <w:tblGrid>
        <w:gridCol w:w="3215"/>
        <w:gridCol w:w="60"/>
        <w:gridCol w:w="1865"/>
      </w:tblGrid>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 2026</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income tax expense guidance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to $88</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adjusting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to $38</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income tax expense guidance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double" w:sz="2" w:space="0" w:color="000000"/>
            </w:tcBorders>
            <w:shd w:fill="CCEEFF" w:val="clear"/>
            <w:tcMar>
              <w:bottom w:w="5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to $126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Variances in tables are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6270</Words>
  <Characters>32828</Characters>
  <CharactersWithSpaces>40600</CharactersWithSpaces>
  <Paragraphs>5218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