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960" w:hanging="691"/>
        <w:spacing w:after="0"/>
        <w:tabs>
          <w:tab w:leader="none" w:pos="9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ANNUAL REPORT PURSUANT TO SECTION 15(d) OF THE SECURITIES EXCHANGE ACT OF 1934</w:t>
      </w:r>
    </w:p>
    <w:p>
      <w:pPr>
        <w:spacing w:after="0" w:line="104"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31"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960" w:hanging="691"/>
        <w:spacing w:after="0"/>
        <w:tabs>
          <w:tab w:leader="none" w:pos="96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15(d) OF THE SECURITIES EXCHANGE ACT OF 1934</w:t>
      </w:r>
    </w:p>
    <w:p>
      <w:pPr>
        <w:spacing w:after="0" w:line="115"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Commission file number 000-52423</w:t>
      </w:r>
    </w:p>
    <w:p>
      <w:pPr>
        <w:spacing w:after="0" w:line="31" w:lineRule="exact"/>
        <w:rPr>
          <w:sz w:val="24"/>
          <w:szCs w:val="24"/>
          <w:color w:val="auto"/>
        </w:rPr>
      </w:pPr>
    </w:p>
    <w:p>
      <w:pPr>
        <w:ind w:left="940" w:hanging="563"/>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86"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AECOM RETIREMENT &amp; SAVINGS PLAN</w:t>
      </w:r>
    </w:p>
    <w:p>
      <w:pPr>
        <w:spacing w:after="0" w:line="54" w:lineRule="exact"/>
        <w:rPr>
          <w:sz w:val="24"/>
          <w:szCs w:val="24"/>
          <w:color w:val="auto"/>
        </w:rPr>
      </w:pPr>
    </w:p>
    <w:p>
      <w:pPr>
        <w:ind w:left="940" w:hanging="563"/>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88"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32"/>
          <w:szCs w:val="32"/>
          <w:b w:val="1"/>
          <w:bCs w:val="1"/>
          <w:color w:val="auto"/>
        </w:rPr>
        <w:t>AECOM</w:t>
      </w:r>
    </w:p>
    <w:p>
      <w:pPr>
        <w:spacing w:after="0" w:line="5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13355 Noel Road</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Dallas, Texas 75240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t>AECOM Retirement &amp; Savings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Statements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 for the Year Ended 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Schedules as of December 31, 2025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AECOM RETIREMENT &amp; SAVINGS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19685</wp:posOffset>
            </wp:positionV>
            <wp:extent cx="6775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3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w:t>
      </w:r>
    </w:p>
    <w:p>
      <w:pPr>
        <w:spacing w:after="0" w:line="712" w:lineRule="exact"/>
        <w:rPr>
          <w:sz w:val="20"/>
          <w:szCs w:val="20"/>
          <w:color w:val="auto"/>
        </w:rPr>
      </w:pPr>
    </w:p>
    <w:p>
      <w:pPr>
        <w:sectPr>
          <w:pgSz w:w="11900" w:h="16838" w:orient="portrait"/>
          <w:cols w:equalWidth="0" w:num="2">
            <w:col w:w="9800" w:space="720"/>
            <w:col w:w="720"/>
          </w:cols>
          <w:pgMar w:left="320" w:top="1332" w:right="3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Statements of Net Assets Available for Benefits as of December 31, 2025 and 2024</w:t>
            </w:r>
          </w:p>
        </w:tc>
        <w:tc>
          <w:tcPr>
            <w:tcW w:w="2260" w:type="dxa"/>
            <w:vAlign w:val="bottom"/>
            <w:shd w:val="clear" w:color="auto" w:fill="CCEEFF"/>
          </w:tcPr>
          <w:p>
            <w:pPr>
              <w:jc w:val="center"/>
              <w:ind w:left="1370"/>
              <w:spacing w:after="0"/>
              <w:rPr>
                <w:sz w:val="20"/>
                <w:szCs w:val="20"/>
                <w:color w:val="auto"/>
              </w:rPr>
            </w:pPr>
            <w:r>
              <w:rPr>
                <w:rFonts w:ascii="Times New Roman" w:cs="Times New Roman" w:eastAsia="Times New Roman" w:hAnsi="Times New Roman"/>
                <w:sz w:val="18"/>
                <w:szCs w:val="18"/>
                <w:color w:val="auto"/>
                <w:w w:val="88"/>
              </w:rPr>
              <w:t>2</w:t>
            </w:r>
          </w:p>
        </w:tc>
      </w:tr>
      <w:tr>
        <w:trPr>
          <w:trHeight w:val="270"/>
        </w:trPr>
        <w:tc>
          <w:tcPr>
            <w:tcW w:w="898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270"/>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Statement of Changes in Net Assets Available for Benefits for the Year Ended December 31, 2025</w:t>
            </w:r>
          </w:p>
        </w:tc>
        <w:tc>
          <w:tcPr>
            <w:tcW w:w="2260" w:type="dxa"/>
            <w:vAlign w:val="bottom"/>
            <w:shd w:val="clear" w:color="auto" w:fill="CCEEFF"/>
          </w:tcPr>
          <w:p>
            <w:pPr>
              <w:jc w:val="center"/>
              <w:ind w:left="1370"/>
              <w:spacing w:after="0"/>
              <w:rPr>
                <w:sz w:val="20"/>
                <w:szCs w:val="20"/>
                <w:color w:val="auto"/>
              </w:rPr>
            </w:pPr>
            <w:r>
              <w:rPr>
                <w:rFonts w:ascii="Times New Roman" w:cs="Times New Roman" w:eastAsia="Times New Roman" w:hAnsi="Times New Roman"/>
                <w:sz w:val="18"/>
                <w:szCs w:val="18"/>
                <w:color w:val="auto"/>
                <w:w w:val="88"/>
              </w:rPr>
              <w:t>3</w:t>
            </w:r>
          </w:p>
        </w:tc>
      </w:tr>
      <w:tr>
        <w:trPr>
          <w:trHeight w:val="270"/>
        </w:trPr>
        <w:tc>
          <w:tcPr>
            <w:tcW w:w="898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270"/>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2260" w:type="dxa"/>
            <w:vAlign w:val="bottom"/>
            <w:shd w:val="clear" w:color="auto" w:fill="CCEEFF"/>
          </w:tcPr>
          <w:p>
            <w:pPr>
              <w:jc w:val="center"/>
              <w:ind w:left="1370"/>
              <w:spacing w:after="0"/>
              <w:rPr>
                <w:sz w:val="20"/>
                <w:szCs w:val="20"/>
                <w:color w:val="auto"/>
              </w:rPr>
            </w:pPr>
            <w:r>
              <w:rPr>
                <w:rFonts w:ascii="Times New Roman" w:cs="Times New Roman" w:eastAsia="Times New Roman" w:hAnsi="Times New Roman"/>
                <w:sz w:val="18"/>
                <w:szCs w:val="18"/>
                <w:color w:val="auto"/>
                <w:w w:val="88"/>
              </w:rPr>
              <w:t>4</w:t>
            </w:r>
          </w:p>
        </w:tc>
      </w:tr>
      <w:tr>
        <w:trPr>
          <w:trHeight w:val="270"/>
        </w:trPr>
        <w:tc>
          <w:tcPr>
            <w:tcW w:w="898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SCHEDULES:</w:t>
            </w:r>
          </w:p>
        </w:tc>
        <w:tc>
          <w:tcPr>
            <w:tcW w:w="2260" w:type="dxa"/>
            <w:vAlign w:val="bottom"/>
            <w:tcBorders>
              <w:bottom w:val="single" w:sz="8" w:color="CCEEFF"/>
            </w:tcBorders>
            <w:shd w:val="clear" w:color="auto" w:fill="CCEEFF"/>
          </w:tcPr>
          <w:p>
            <w:pPr>
              <w:spacing w:after="0"/>
              <w:rPr>
                <w:sz w:val="21"/>
                <w:szCs w:val="21"/>
                <w:color w:val="auto"/>
              </w:rPr>
            </w:pPr>
          </w:p>
        </w:tc>
      </w:tr>
      <w:tr>
        <w:trPr>
          <w:trHeight w:val="270"/>
        </w:trPr>
        <w:tc>
          <w:tcPr>
            <w:tcW w:w="898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270"/>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Schedule H, Line 4a, Schedule of Delinquent Participant Contributions as of December 31, 2025</w:t>
            </w:r>
          </w:p>
        </w:tc>
        <w:tc>
          <w:tcPr>
            <w:tcW w:w="2260" w:type="dxa"/>
            <w:vAlign w:val="bottom"/>
            <w:shd w:val="clear" w:color="auto" w:fill="CCEEFF"/>
          </w:tcPr>
          <w:p>
            <w:pPr>
              <w:jc w:val="center"/>
              <w:ind w:left="1350"/>
              <w:spacing w:after="0"/>
              <w:rPr>
                <w:sz w:val="20"/>
                <w:szCs w:val="20"/>
                <w:color w:val="auto"/>
              </w:rPr>
            </w:pPr>
            <w:r>
              <w:rPr>
                <w:rFonts w:ascii="Times New Roman" w:cs="Times New Roman" w:eastAsia="Times New Roman" w:hAnsi="Times New Roman"/>
                <w:sz w:val="18"/>
                <w:szCs w:val="18"/>
                <w:color w:val="auto"/>
                <w:w w:val="99"/>
              </w:rPr>
              <w:t>18</w:t>
            </w:r>
          </w:p>
        </w:tc>
      </w:tr>
      <w:tr>
        <w:trPr>
          <w:trHeight w:val="270"/>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Schedule H, Line 4i, Schedule of Assets (Held at End of Year) as of December 31, 2025</w:t>
            </w:r>
          </w:p>
        </w:tc>
        <w:tc>
          <w:tcPr>
            <w:tcW w:w="226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19</w:t>
            </w:r>
          </w:p>
        </w:tc>
      </w:tr>
      <w:tr>
        <w:trPr>
          <w:trHeight w:val="270"/>
        </w:trPr>
        <w:tc>
          <w:tcPr>
            <w:tcW w:w="898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r>
      <w:tr>
        <w:trPr>
          <w:trHeight w:val="270"/>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INDEX</w:t>
            </w:r>
          </w:p>
        </w:tc>
        <w:tc>
          <w:tcPr>
            <w:tcW w:w="226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20</w:t>
            </w:r>
          </w:p>
        </w:tc>
      </w:tr>
      <w:tr>
        <w:trPr>
          <w:trHeight w:val="270"/>
        </w:trPr>
        <w:tc>
          <w:tcPr>
            <w:tcW w:w="898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r>
      <w:tr>
        <w:trPr>
          <w:trHeight w:val="270"/>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226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21</w:t>
            </w:r>
          </w:p>
        </w:tc>
      </w:tr>
      <w:tr>
        <w:trPr>
          <w:trHeight w:val="1343"/>
        </w:trPr>
        <w:tc>
          <w:tcPr>
            <w:tcW w:w="89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Americas Benefits Administration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AECOM Retirement &amp; Savings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AECOM Retirement &amp; Savings Plan (the Plan) as of December 31, 2025 and 2024, and the related statement of changes in net assets available for benefits for the year ended December 31, 2025, and the related notes and schedules (collectively referred to as the financial statements.) In our opinion, the financial statements present fairly, in all material respects, the net assets available for benefits of AECOM Retirement &amp; Savings Plan as of December 31, 2025 and 2024, and the changes in net assets available for benefits for the year ended December 31, 2025,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purposes of expressing an opinion on the effectiveness of the Plan’s internal control over financial reporting. Accordingly, we express no such opinion.</w:t>
      </w:r>
    </w:p>
    <w:p>
      <w:pPr>
        <w:spacing w:after="0" w:line="2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supplemental information in the accompanying Schedule H, Line 4a - Schedule of Delinquent Participant Contributions for the year ended December 31, 2025 and Schedule H, Line 4i - Schedule of Assets (Held at End of Year) as of December 31, 2025 have been subjected to audit procedures performed in conjunction with the audit of AECOM Retirement &amp; Savings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schedules,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schedules is fairly stated, in all material respects, in relation to the financial statements as a whole.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Eide Bailly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AECOM Retirement &amp; Savings Plan's auditor since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AECOM RETIREMENT &amp; SAVINGS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7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6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(expressed in thousands)</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Investments—at fair value (Notes B and C)</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2,939,566</w:t>
            </w:r>
          </w:p>
        </w:tc>
        <w:tc>
          <w:tcPr>
            <w:tcW w:w="2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2,299,530</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 investments in AECOM DC Retirement Plans (Note B):</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Vanguard Master Trust (Note D)</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3,413,123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3,364,044</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SMA Master Trust (Note 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625,057</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717,651</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Stable Value Master Trust (Note F)</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313,784</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323,734</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investments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7,291,530</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6,704,959</w:t>
            </w:r>
          </w:p>
        </w:tc>
        <w:tc>
          <w:tcPr>
            <w:tcW w:w="0" w:type="dxa"/>
            <w:vAlign w:val="bottom"/>
          </w:tcPr>
          <w:p>
            <w:pPr>
              <w:spacing w:after="0"/>
              <w:rPr>
                <w:sz w:val="1"/>
                <w:szCs w:val="1"/>
                <w:color w:val="auto"/>
              </w:rPr>
            </w:pPr>
          </w:p>
        </w:tc>
      </w:tr>
      <w:tr>
        <w:trPr>
          <w:trHeight w:val="250"/>
        </w:trPr>
        <w:tc>
          <w:tcPr>
            <w:tcW w:w="7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Notes receivable from participants (Notes A and B)</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23,764</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Employer contributions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53,095</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49,565</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receivables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76,971</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73,890</w:t>
            </w:r>
          </w:p>
        </w:tc>
        <w:tc>
          <w:tcPr>
            <w:tcW w:w="0" w:type="dxa"/>
            <w:vAlign w:val="bottom"/>
          </w:tcPr>
          <w:p>
            <w:pPr>
              <w:spacing w:after="0"/>
              <w:rPr>
                <w:sz w:val="1"/>
                <w:szCs w:val="1"/>
                <w:color w:val="auto"/>
              </w:rPr>
            </w:pPr>
          </w:p>
        </w:tc>
      </w:tr>
      <w:tr>
        <w:trPr>
          <w:trHeight w:val="250"/>
        </w:trPr>
        <w:tc>
          <w:tcPr>
            <w:tcW w:w="7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7,368,501</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6,778,849</w:t>
            </w:r>
          </w:p>
        </w:tc>
        <w:tc>
          <w:tcPr>
            <w:tcW w:w="0" w:type="dxa"/>
            <w:vAlign w:val="bottom"/>
          </w:tcPr>
          <w:p>
            <w:pPr>
              <w:spacing w:after="0"/>
              <w:rPr>
                <w:sz w:val="1"/>
                <w:szCs w:val="1"/>
                <w:color w:val="auto"/>
              </w:rPr>
            </w:pPr>
          </w:p>
        </w:tc>
      </w:tr>
      <w:tr>
        <w:trPr>
          <w:trHeight w:val="250"/>
        </w:trPr>
        <w:tc>
          <w:tcPr>
            <w:tcW w:w="7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Payable to participants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50"/>
        </w:trPr>
        <w:tc>
          <w:tcPr>
            <w:tcW w:w="76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7,368,267</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6,778,558</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See notes to financial statements.</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AECOM RETIREMENT &amp; SAVINGS PLAN</w:t>
      </w:r>
    </w:p>
    <w:p>
      <w:pPr>
        <w:spacing w:after="0" w:line="31" w:lineRule="exact"/>
        <w:rPr>
          <w:sz w:val="20"/>
          <w:szCs w:val="20"/>
          <w:color w:val="auto"/>
        </w:rPr>
      </w:pPr>
    </w:p>
    <w:p>
      <w:pPr>
        <w:ind w:right="1820"/>
        <w:spacing w:after="0" w:line="260" w:lineRule="auto"/>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TO NET ASSETS ATTRIBUTED TO:</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Interest and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Investment gain from self-directed brokerage accounts</w:t>
      </w:r>
    </w:p>
    <w:p>
      <w:pPr>
        <w:spacing w:after="0" w:line="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Plan interest in the investment income of the AECOM DC 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Vanguard Master Trust (Note D)</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SMA Master Trust (Note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Stable Value Master Trust (Note F)</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CONTRIBUTIONS:</w:t>
      </w:r>
    </w:p>
    <w:p>
      <w:pPr>
        <w:spacing w:after="0" w:line="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Employer</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DEDUCTIONS FROM NET ASSETS ATTRIBUTED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Benefits paid to participants (Note A and Note G)</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End of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2"/>
        </w:trPr>
        <w:tc>
          <w:tcPr>
            <w:tcW w:w="220" w:type="dxa"/>
            <w:vAlign w:val="bottom"/>
          </w:tcPr>
          <w:p>
            <w:pPr>
              <w:spacing w:after="0"/>
              <w:rPr>
                <w:sz w:val="20"/>
                <w:szCs w:val="20"/>
                <w:color w:val="auto"/>
              </w:rPr>
            </w:pPr>
          </w:p>
        </w:tc>
        <w:tc>
          <w:tcPr>
            <w:tcW w:w="23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(expressed in thousands)</w:t>
            </w:r>
          </w:p>
        </w:tc>
      </w:tr>
      <w:tr>
        <w:trPr>
          <w:trHeight w:val="801"/>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221,593</w:t>
            </w:r>
          </w:p>
        </w:tc>
      </w:tr>
      <w:tr>
        <w:trPr>
          <w:trHeight w:val="270"/>
        </w:trPr>
        <w:tc>
          <w:tcPr>
            <w:tcW w:w="220" w:type="dxa"/>
            <w:vAlign w:val="bottom"/>
          </w:tcPr>
          <w:p>
            <w:pPr>
              <w:spacing w:after="0"/>
              <w:rPr>
                <w:sz w:val="23"/>
                <w:szCs w:val="23"/>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w:t>
            </w:r>
          </w:p>
        </w:tc>
      </w:tr>
      <w:tr>
        <w:trPr>
          <w:trHeight w:val="270"/>
        </w:trPr>
        <w:tc>
          <w:tcPr>
            <w:tcW w:w="220" w:type="dxa"/>
            <w:vAlign w:val="bottom"/>
          </w:tcPr>
          <w:p>
            <w:pPr>
              <w:spacing w:after="0"/>
              <w:rPr>
                <w:sz w:val="23"/>
                <w:szCs w:val="23"/>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78,832</w:t>
            </w:r>
          </w:p>
        </w:tc>
      </w:tr>
      <w:tr>
        <w:trPr>
          <w:trHeight w:val="454"/>
        </w:trPr>
        <w:tc>
          <w:tcPr>
            <w:tcW w:w="22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532,763</w:t>
            </w:r>
          </w:p>
        </w:tc>
      </w:tr>
      <w:tr>
        <w:trPr>
          <w:trHeight w:val="230"/>
        </w:trPr>
        <w:tc>
          <w:tcPr>
            <w:tcW w:w="2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150,726</w:t>
            </w:r>
          </w:p>
        </w:tc>
      </w:tr>
      <w:tr>
        <w:trPr>
          <w:trHeight w:val="234"/>
        </w:trPr>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9,273</w:t>
            </w:r>
          </w:p>
        </w:tc>
      </w:tr>
      <w:tr>
        <w:trPr>
          <w:trHeight w:val="479"/>
        </w:trPr>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1,000,371</w:t>
            </w:r>
          </w:p>
        </w:tc>
      </w:tr>
      <w:tr>
        <w:trPr>
          <w:trHeight w:val="520"/>
        </w:trPr>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w:t>
            </w:r>
          </w:p>
        </w:tc>
      </w:tr>
      <w:tr>
        <w:trPr>
          <w:trHeight w:val="750"/>
        </w:trPr>
        <w:tc>
          <w:tcPr>
            <w:tcW w:w="22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222,124</w:t>
            </w:r>
          </w:p>
        </w:tc>
      </w:tr>
      <w:tr>
        <w:trPr>
          <w:trHeight w:val="270"/>
        </w:trPr>
        <w:tc>
          <w:tcPr>
            <w:tcW w:w="22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53,448</w:t>
            </w:r>
          </w:p>
        </w:tc>
      </w:tr>
      <w:tr>
        <w:trPr>
          <w:trHeight w:val="250"/>
        </w:trPr>
        <w:tc>
          <w:tcPr>
            <w:tcW w:w="2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275,572</w:t>
            </w:r>
          </w:p>
        </w:tc>
      </w:tr>
      <w:tr>
        <w:trPr>
          <w:trHeight w:val="520"/>
        </w:trPr>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1,277,726</w:t>
            </w:r>
          </w:p>
        </w:tc>
      </w:tr>
      <w:tr>
        <w:trPr>
          <w:trHeight w:val="790"/>
        </w:trPr>
        <w:tc>
          <w:tcPr>
            <w:tcW w:w="22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(686,681)</w:t>
            </w:r>
          </w:p>
        </w:tc>
      </w:tr>
      <w:tr>
        <w:trPr>
          <w:trHeight w:val="270"/>
        </w:trPr>
        <w:tc>
          <w:tcPr>
            <w:tcW w:w="22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520"/>
        </w:trPr>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(688,017)</w:t>
            </w:r>
          </w:p>
        </w:tc>
      </w:tr>
      <w:tr>
        <w:trPr>
          <w:trHeight w:val="480"/>
        </w:trPr>
        <w:tc>
          <w:tcPr>
            <w:tcW w:w="22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589,709</w:t>
            </w:r>
          </w:p>
        </w:tc>
      </w:tr>
      <w:tr>
        <w:trPr>
          <w:trHeight w:val="769"/>
        </w:trPr>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6,778,558</w:t>
            </w:r>
          </w:p>
        </w:tc>
      </w:tr>
      <w:tr>
        <w:trPr>
          <w:trHeight w:val="507"/>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7,368,267</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960" w:space="720"/>
            <w:col w:w="2560"/>
          </w:cols>
          <w:pgMar w:left="320" w:top="108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AECOM RETIREMENT &amp; SAVINGS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70" w:lineRule="exact"/>
        <w:rPr>
          <w:sz w:val="20"/>
          <w:szCs w:val="20"/>
          <w:color w:val="auto"/>
        </w:rPr>
      </w:pPr>
    </w:p>
    <w:p>
      <w:pPr>
        <w:ind w:left="820" w:hanging="794"/>
        <w:spacing w:after="0"/>
        <w:tabs>
          <w:tab w:leader="none" w:pos="8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brief description of the AECOM Retirement &amp; Savings Plan (the “Plan”) is provided for general information purposes only.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Participants should refer to the Plan document and the Summary Plan Description for more complete information.</w:t>
      </w:r>
    </w:p>
    <w:p>
      <w:pPr>
        <w:spacing w:after="0" w:line="9" w:lineRule="exact"/>
        <w:rPr>
          <w:sz w:val="20"/>
          <w:szCs w:val="20"/>
          <w:color w:val="auto"/>
        </w:rPr>
      </w:pPr>
    </w:p>
    <w:p>
      <w:pPr>
        <w:ind w:left="660" w:right="12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Plan is a defined contribution plan with a profit sharing component intended to qualify under Section 401(a) of the Internal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Code (the "Code"), a cash or deferred arrangement intended to qualify under Sections 401(a) and 401(k) of the Code, and a non-leveraged employee stock ownership component intended to qualify under Sections 401(a), 409 and 4975(e)(7) of the Code, which is designed to invest primarily in shares of stock of the Company. It was established to provide benefits to eligible employees of AECOM (“AECOM” or the “Company”) and various participating affiliates. The Plan is administered by the AECOM Americas Benefits Administration Committee as authorized by AECOM. The Plan is subject to the applicable provisions of the Employee Retirement Income Security Act of 1974 (“ERISA”), as amended.</w:t>
      </w:r>
    </w:p>
    <w:p>
      <w:pPr>
        <w:spacing w:after="0" w:line="3" w:lineRule="exact"/>
        <w:rPr>
          <w:sz w:val="20"/>
          <w:szCs w:val="20"/>
          <w:color w:val="auto"/>
        </w:rPr>
      </w:pPr>
    </w:p>
    <w:p>
      <w:pPr>
        <w:ind w:left="660" w:right="140"/>
        <w:spacing w:after="0" w:line="253" w:lineRule="auto"/>
        <w:rPr>
          <w:sz w:val="20"/>
          <w:szCs w:val="20"/>
          <w:color w:val="auto"/>
        </w:rPr>
      </w:pPr>
      <w:r>
        <w:rPr>
          <w:rFonts w:ascii="Times New Roman" w:cs="Times New Roman" w:eastAsia="Times New Roman" w:hAnsi="Times New Roman"/>
          <w:sz w:val="18"/>
          <w:szCs w:val="18"/>
          <w:color w:val="auto"/>
        </w:rPr>
        <w:t>Merrill, Lynch, Pierce, Fenner &amp; Smith, Inc. serves as the recordkeeper of the Plan. Assets of the Plan are held by Bank of America, N.A., the trustee (the “Trustee”), except for certain investments. Assets in the separately managed accounts are held by Northern Trust Corporation; the Vanguard investment funds are held by The Vanguard Group; and the stable value fund is held at Fidelity Management Trust Company on behalf of the Trustee.</w:t>
      </w:r>
    </w:p>
    <w:p>
      <w:pPr>
        <w:spacing w:after="0" w:line="189" w:lineRule="exact"/>
        <w:rPr>
          <w:sz w:val="20"/>
          <w:szCs w:val="20"/>
          <w:color w:val="auto"/>
        </w:rPr>
      </w:pPr>
    </w:p>
    <w:p>
      <w:pPr>
        <w:ind w:left="660" w:right="560"/>
        <w:spacing w:after="0" w:line="257" w:lineRule="auto"/>
        <w:rPr>
          <w:sz w:val="20"/>
          <w:szCs w:val="20"/>
          <w:color w:val="auto"/>
        </w:rPr>
      </w:pPr>
      <w:r>
        <w:rPr>
          <w:rFonts w:ascii="Times New Roman" w:cs="Times New Roman" w:eastAsia="Times New Roman" w:hAnsi="Times New Roman"/>
          <w:sz w:val="18"/>
          <w:szCs w:val="18"/>
          <w:color w:val="auto"/>
        </w:rPr>
        <w:t>Each participant is entitled to exercise voting rights attributable to the Company shares allocated to his or her account and is notified by the Trustee prior to the time that such rights are to be exercised. The Trustee votes for shares for which instructions have not been given by a participant in accordance with the trust agreement.</w:t>
      </w:r>
    </w:p>
    <w:p>
      <w:pPr>
        <w:spacing w:after="0" w:line="1" w:lineRule="exact"/>
        <w:rPr>
          <w:sz w:val="20"/>
          <w:szCs w:val="20"/>
          <w:color w:val="auto"/>
        </w:rPr>
      </w:pPr>
    </w:p>
    <w:p>
      <w:pPr>
        <w:jc w:val="both"/>
        <w:ind w:left="660" w:right="4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Eligible employees become eligible to participate in the Plan on their date of hire, and can enroll as soon as administratively feasible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thereafter (“Eligible Employees,” as defined in the Plan document). If the Eligible Employee decides not to participate when they are first eligible, they may begin participating anytime, provided they are an Eligible Employee of the Company on that date.</w:t>
      </w:r>
    </w:p>
    <w:p>
      <w:pPr>
        <w:spacing w:after="0" w:line="2" w:lineRule="exact"/>
        <w:rPr>
          <w:sz w:val="20"/>
          <w:szCs w:val="20"/>
          <w:color w:val="auto"/>
        </w:rPr>
      </w:pPr>
    </w:p>
    <w:p>
      <w:pPr>
        <w:ind w:left="660"/>
        <w:spacing w:after="0" w:line="23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Participant Contributions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Participants may voluntarily make pre-tax, Roth 401(k) and/or after-tax contributions in any combination. Pre-tax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Roth 401(k) contributions are limited to $23,500 for the calendar year 2025 per the Internal Revenue Service (“IRS”) limits. Contributions can be made in whole percentage increments up to 75 percent of eligible compensation, as defined in the Plan document. Participants who are 50 years of age and over may voluntarily make additional contributions on a pre-tax or to the extent permitted by applicable law, Roth 401(k) basis up to $7,500 for calendar year 2025 per IRS limits, which are counted as part of the Plan’s 75 percent limitation. If participants attain age 60 to 63 before the end of the 2025 calendar year, their total combined pre-tax catch-up contributions and Roth catch-up contributions may equal up to $11,250 for the 2025 calendar year. Participants also may contribute amounts representing rollovers from individual retirement accounts and/or other qualified plans. If participants are highly-compensated employees, the maximum contribution percentage may be subject to further limitation.</w:t>
      </w:r>
    </w:p>
    <w:p>
      <w:pPr>
        <w:spacing w:after="0" w:line="5" w:lineRule="exact"/>
        <w:rPr>
          <w:sz w:val="20"/>
          <w:szCs w:val="20"/>
          <w:color w:val="auto"/>
        </w:rPr>
      </w:pPr>
    </w:p>
    <w:p>
      <w:pPr>
        <w:ind w:left="660" w:right="40"/>
        <w:spacing w:after="0" w:line="250" w:lineRule="auto"/>
        <w:rPr>
          <w:sz w:val="20"/>
          <w:szCs w:val="20"/>
          <w:color w:val="auto"/>
        </w:rPr>
      </w:pPr>
      <w:r>
        <w:rPr>
          <w:rFonts w:ascii="Times New Roman" w:cs="Times New Roman" w:eastAsia="Times New Roman" w:hAnsi="Times New Roman"/>
          <w:sz w:val="18"/>
          <w:szCs w:val="18"/>
          <w:color w:val="auto"/>
        </w:rPr>
        <w:t>The Plan provides for an automatic enrollment feature for Eligible Employees. A participant’s contribution under the automatic enrollment feature will be a pre-tax contribution equal to one percent of his or her eligible compensation until either a participant elects to discontinue or change his or her election.</w:t>
      </w:r>
    </w:p>
    <w:p>
      <w:pPr>
        <w:spacing w:after="0" w:line="1" w:lineRule="exact"/>
        <w:rPr>
          <w:sz w:val="20"/>
          <w:szCs w:val="20"/>
          <w:color w:val="auto"/>
        </w:rPr>
      </w:pPr>
    </w:p>
    <w:p>
      <w:pPr>
        <w:ind w:left="660" w:right="10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Participant Accounts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participant’s account is credited with the participant’s contributions and rollovers, Company contributions,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allocations of Plan investment earnings or losses. Allocations are based on participant earnings or account balances, as defined by the Plan document. Certain administration fees are paid from the participant’s account. The benefit to which a participant is entitled is the benefit that may be provided from the participant’s vested account.</w:t>
      </w:r>
    </w:p>
    <w:p>
      <w:pPr>
        <w:spacing w:after="0" w:line="2" w:lineRule="exact"/>
        <w:rPr>
          <w:sz w:val="20"/>
          <w:szCs w:val="20"/>
          <w:color w:val="auto"/>
        </w:rPr>
      </w:pPr>
    </w:p>
    <w:p>
      <w:pPr>
        <w:ind w:left="660" w:right="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Employer Contributions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participants’ pre-tax and Roth 401(k) contributions made to the Plan are matched 50% by the Company up to 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eligible compensation. Participants’ after-tax contributions are not eligible for the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spacing w:after="0" w:line="256" w:lineRule="auto"/>
        <w:rPr>
          <w:sz w:val="20"/>
          <w:szCs w:val="20"/>
          <w:color w:val="auto"/>
        </w:rPr>
      </w:pPr>
      <w:r>
        <w:rPr>
          <w:rFonts w:ascii="Times New Roman" w:cs="Times New Roman" w:eastAsia="Times New Roman" w:hAnsi="Times New Roman"/>
          <w:sz w:val="18"/>
          <w:szCs w:val="18"/>
          <w:color w:val="auto"/>
        </w:rPr>
        <w:t>Company match. The Company’s annual match is allocated 50% to the participant’s selected investment allocations and 50% to AECOM common stock. Participants can transfer their account balance invested in AECOM common stock to other investment options and make withdrawals, subject to certain Plan and legal restrictions. In order to receive the annual match, participants must generally be employed on the last day of the Plan year. Notwithstanding the foregoing, participants covered by a collective bargaining agreement ("CBA"), government contract, or specific project agreement are eligible for a Company match (if any) as described in the applicable CBA, government contract, or specific project agreement.</w:t>
      </w:r>
    </w:p>
    <w:p>
      <w:pPr>
        <w:spacing w:after="0" w:line="21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Vesting </w:t>
      </w:r>
      <w:r>
        <w:rPr>
          <w:rFonts w:ascii="Times New Roman" w:cs="Times New Roman" w:eastAsia="Times New Roman" w:hAnsi="Times New Roman"/>
          <w:sz w:val="17"/>
          <w:szCs w:val="17"/>
          <w:color w:val="auto"/>
        </w:rPr>
        <w:t>— Participants’ contributions and rollovers, and the earnings thereon, are at all times vested in such participants’ accounts. Vesting 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contributions and associated earnings is based on years of continuous service. A participant vests in the Company contributions and associated earnings over a three-year period (33% after one year of service, 67% after two years of service, and 100% after three years of service). In addition, participants who are employees become fully vested upon attaining age 65, becoming disabled or deceased while employed at the Company, or upon termination of the Plan. Notwithstanding the foregoing, different vesting requirements may apply to (i) participants covered by a CBA, government contract, or specific project agreement, or (ii) participants acquired or terminated in connection with a corporate transaction.</w:t>
      </w:r>
    </w:p>
    <w:p>
      <w:pPr>
        <w:spacing w:after="0" w:line="19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portion of a participant’s account balance that is not vested upon termination of employment is forfeited at the time the participant receives a distribution or as of the end of the Plan year in which the participant incurs five consecutive One-Year Breaks in Service, as defined in the Plan document, whichever occurs first. These unvested forfeited Company contributions and associated earnings are accumulated in the forfeiture account and are available to reduce subsequent Company contributions.</w:t>
      </w:r>
    </w:p>
    <w:p>
      <w:pPr>
        <w:spacing w:after="0" w:line="3"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2025, forfeitures of approximately $1.2 million were used to offset the Company match for 2025. As of December 31, 2025 and 2024, the balance in the forfeiture account was $0.0 million and $0.0 million, respectively.</w:t>
      </w:r>
    </w:p>
    <w:p>
      <w:pPr>
        <w:spacing w:after="0" w:line="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Options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enrollment in the Plan, a participant is allowed to direct the investment of his or her account into a variety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diversified investment funds offered by the Plan. If a participant is automatically enrolled in the Plan or otherwise has not selected an investment to invest his or her contributions to the Plan, those contributions are invested in a target date fund, as determined by the AECOM Americas Retirement Plan Investment Committee. Participants may change their selection of investments at any time.</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One of the investment options offered under the Plan consists of shares of AECOM common stock, which is an employee stock ownership plan as defined in Section 4975(e)(7) of the Code within the Plan. In December 2021, AECOM initiated a dividend program on its shares of common stock. As a stockholder of AECOM common stock through the AECOM common stock fund, the Plan will receive dividends. The Plan will allocate the dividends to accounts of participants, which hold shares of AECOM common stock within the AECOM common stock fund, as of the dividend record date. The dividend will be deposited in the AECOM common stock fund unless the participant elects to receive it in cash outside of the Plan. Dividends deposited into the AECOM common stock fund account are reinvested to purchase more shares of AECOM common stock, which can be held or diversified into other investment funds in the Plan. The declaration and payment of dividends are subject to the sole discretion of the Company’s board of directors.</w:t>
      </w:r>
    </w:p>
    <w:p>
      <w:pPr>
        <w:spacing w:after="0" w:line="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Notes Receivable from Participants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Active participants may obtain loans from their vested account balances provided they meet the Plan’s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eligibility requirements. The minimum loan amount permitted is $1,000; the maximum is the lesser of $50,000 or 50% of the participant’s vested account balance. The interest rates are no less than 1% over the prime rate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in effect on the first business day of the month in which the loan application is made. Notes receivable from participants bear interest at rates that range from 4.25% to 9.50% at December 31, 2025 and 2024. The repayment period of such loans cannot exceed five years, unless the proceeds are used to buy the participant’s principal residence, in which case longer terms, up to twenty years, are allowed. These loans are secured by a promissory note from the participant and his or her vested interest in the Plan.</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Generally, distributions are made upon a participant’s election after a participant terminates employment, becomes disabled, dies,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turns age 59-1/2 (in the event of death, payment shall be made to his or her beneficiary or, if none, to his or her surviving spouse, civil union partner, or state-registered domestic partner or, if</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980" w:top="1093" w:right="359" w:bottom="1440" w:gutter="0" w:footer="0" w:header="0"/>
        </w:sectPr>
      </w:pPr>
    </w:p>
    <w:bookmarkStart w:id="8" w:name="page9"/>
    <w:bookmarkEnd w:id="8"/>
    <w:p>
      <w:pPr>
        <w:ind w:left="640" w:right="180"/>
        <w:spacing w:after="0" w:line="258" w:lineRule="auto"/>
        <w:rPr>
          <w:sz w:val="20"/>
          <w:szCs w:val="20"/>
          <w:color w:val="auto"/>
        </w:rPr>
      </w:pPr>
      <w:r>
        <w:rPr>
          <w:rFonts w:ascii="Times New Roman" w:cs="Times New Roman" w:eastAsia="Times New Roman" w:hAnsi="Times New Roman"/>
          <w:sz w:val="18"/>
          <w:szCs w:val="18"/>
          <w:color w:val="auto"/>
        </w:rPr>
        <w:t>none, to his or her legal representatives in care of his or her estate). A partial or complete distribution may be made in a lump-sum in the form of cash or in-kind distribution (in case of Company shares). Distributions may also be made in monthly, quarterly, semi-annual, or annual installments, or in a direct rollover distribution. Distribution options for members of certain acquired companies, provided in previously merged plans, were grandfathered in as a protected benefit. In addition, withdrawals of specific contributions or coverage of certain qualified expenses resulting from an emergency, disaster, hardship, or the birth or adoption of a child may be permitted from vested amounts during employment.</w:t>
      </w:r>
    </w:p>
    <w:p>
      <w:pPr>
        <w:spacing w:after="0" w:line="247" w:lineRule="exact"/>
        <w:rPr>
          <w:sz w:val="20"/>
          <w:szCs w:val="20"/>
          <w:color w:val="auto"/>
        </w:rPr>
      </w:pPr>
    </w:p>
    <w:p>
      <w:pPr>
        <w:ind w:left="800" w:hanging="794"/>
        <w:spacing w:after="0"/>
        <w:tabs>
          <w:tab w:leader="none" w:pos="8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04" w:lineRule="exact"/>
        <w:rPr>
          <w:sz w:val="20"/>
          <w:szCs w:val="20"/>
          <w:color w:val="auto"/>
        </w:rPr>
      </w:pPr>
    </w:p>
    <w:p>
      <w:pPr>
        <w:ind w:left="640" w:right="6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Accounting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accompanying financial statements have been prepared on the accrual basis of accounting in accordance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principles generally accepted in the United States of America.</w:t>
      </w:r>
    </w:p>
    <w:p>
      <w:pPr>
        <w:spacing w:after="0" w:line="1" w:lineRule="exact"/>
        <w:rPr>
          <w:sz w:val="20"/>
          <w:szCs w:val="20"/>
          <w:color w:val="auto"/>
        </w:rPr>
      </w:pPr>
    </w:p>
    <w:p>
      <w:pPr>
        <w:jc w:val="both"/>
        <w:ind w:left="640" w:right="24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preparation of financial statements in conformity with accounting principles generally accepted in the United States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 requires the Plan’s management to make estimates and assumptions that affect certain reported amounts and disclosures. Accordingly, actual results could differ from those estimates.</w:t>
      </w:r>
    </w:p>
    <w:p>
      <w:pPr>
        <w:spacing w:after="0" w:line="1" w:lineRule="exact"/>
        <w:rPr>
          <w:sz w:val="20"/>
          <w:szCs w:val="20"/>
          <w:color w:val="auto"/>
        </w:rPr>
      </w:pPr>
    </w:p>
    <w:p>
      <w:pPr>
        <w:ind w:left="640" w:right="2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Valuation and Income Recognition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held by the Plan are reported at fair value. Fair value is the price that would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from selling an asset or paid to transfer a liability in an orderly transaction between market participants at the measurement date. The cost of investments sold or distributed is determined on the basis of the average cost for each participant. Purchases and sales of securities are reflected on the trade date. Transactions pending clearance with brokers not settled at year-end are recorded as other receivables or payables on the Statements of Net Assets Available for Benefits. Dividends are recorded on the ex-dividend date. Interest income is recorded as earned. Net appreciation or depreciation in fair value of investments includes the Plan’s gains and losses on investments bought and sold as well as held during the year.</w:t>
      </w:r>
    </w:p>
    <w:p>
      <w:pPr>
        <w:spacing w:after="0" w:line="3" w:lineRule="exact"/>
        <w:rPr>
          <w:sz w:val="20"/>
          <w:szCs w:val="20"/>
          <w:color w:val="auto"/>
        </w:rPr>
      </w:pPr>
    </w:p>
    <w:p>
      <w:pPr>
        <w:ind w:left="640" w:right="20"/>
        <w:spacing w:after="0" w:line="250" w:lineRule="auto"/>
        <w:rPr>
          <w:sz w:val="20"/>
          <w:szCs w:val="20"/>
          <w:color w:val="auto"/>
        </w:rPr>
      </w:pPr>
      <w:r>
        <w:rPr>
          <w:rFonts w:ascii="Times New Roman" w:cs="Times New Roman" w:eastAsia="Times New Roman" w:hAnsi="Times New Roman"/>
          <w:sz w:val="18"/>
          <w:szCs w:val="18"/>
          <w:color w:val="auto"/>
        </w:rPr>
        <w:t>Net investment income (loss) of the AECOM DC Retirement Plans Vanguard Master Trust, the AECOM DC Retirement Plans SMA Master Trust, and the AECOM DC Retirement Plans Stable Value Master Trust (collectively, the “Master Trusts”) is allocated daily to the Plan based on the ratio of the Plan’s investment in the Master Trusts to the total value of the related investments held by each master trust as of the beginning of the day.</w:t>
      </w:r>
    </w:p>
    <w:p>
      <w:pPr>
        <w:spacing w:after="0" w:line="2" w:lineRule="exact"/>
        <w:rPr>
          <w:sz w:val="20"/>
          <w:szCs w:val="20"/>
          <w:color w:val="auto"/>
        </w:rPr>
      </w:pPr>
    </w:p>
    <w:p>
      <w:pPr>
        <w:ind w:left="64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Notes Receivable from Participants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 receivable from participants are measured at their principal balance plus any accrued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Interest income is recorded on the accrual basis. Related fees are recorded as administrative expenses and are expensed when they are incurred. No allowance for credit losses has been recorded as of December 31, 2025 or 2024. If a participant ceases to make loan repayments and the Plan administrator deems the participant loan to be in default, the participant loan balance is reduced, and a benefit payment is recorded. </w:t>
      </w:r>
      <w:r>
        <w:rPr>
          <w:rFonts w:ascii="Times New Roman" w:cs="Times New Roman" w:eastAsia="Times New Roman" w:hAnsi="Times New Roman"/>
          <w:sz w:val="18"/>
          <w:szCs w:val="18"/>
          <w:b w:val="1"/>
          <w:bCs w:val="1"/>
          <w:i w:val="1"/>
          <w:iCs w:val="1"/>
          <w:color w:val="auto"/>
        </w:rPr>
        <w:t xml:space="preserve">Payment of Benefits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are recorded when paid by the Plan.</w:t>
      </w:r>
    </w:p>
    <w:p>
      <w:pPr>
        <w:spacing w:after="0" w:line="2" w:lineRule="exact"/>
        <w:rPr>
          <w:sz w:val="20"/>
          <w:szCs w:val="20"/>
          <w:color w:val="auto"/>
        </w:rPr>
      </w:pPr>
    </w:p>
    <w:p>
      <w:pPr>
        <w:ind w:left="640" w:right="28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Administrative Expenses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Plan incurs monthly recordkeeping and administrative expenses. Specific participant transaction expenses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deducted from participant accounts directly. Plan expenses that cannot be directly charged to a specific participant transaction may be paid, in whole or in part, from a twelve-dollar quarterly administrative fee charged to participant accounts. For the year ended December 31, 2025, the Plan incurred $1.3 million of recordkeeping and administrative expenses.</w:t>
      </w:r>
    </w:p>
    <w:p>
      <w:pPr>
        <w:spacing w:after="0" w:line="2" w:lineRule="exact"/>
        <w:rPr>
          <w:sz w:val="20"/>
          <w:szCs w:val="20"/>
          <w:color w:val="auto"/>
        </w:rPr>
      </w:pPr>
    </w:p>
    <w:p>
      <w:pPr>
        <w:ind w:left="640"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Measurements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Plan’s investments, which are stated at fair value, are disclosed in accordance with the established framework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disclosure requirements described in the Financial Accounting Standards Board Accounting Standards Codification No. 820-10,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 and Disclosures</w:t>
      </w:r>
      <w:r>
        <w:rPr>
          <w:rFonts w:ascii="Times New Roman" w:cs="Times New Roman" w:eastAsia="Times New Roman" w:hAnsi="Times New Roman"/>
          <w:sz w:val="18"/>
          <w:szCs w:val="18"/>
          <w:color w:val="auto"/>
        </w:rPr>
        <w:t>” (“ASC 820-10”), which defines fair value, establishes a framework for measuring fair value under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pronouncements that require or permit fair value measurement, and enhances disclosures about fair value measurements. ASC 820-10 defines fair value as the exchange price that would be received for an asset or paid to transfer a liability (an exit price) in the principal or most advantageous market for the asset or liability in an orderly transaction which requires an entity to maximize the use of observable inputs when measuring fair value.</w:t>
      </w:r>
    </w:p>
    <w:p>
      <w:pPr>
        <w:spacing w:after="0" w:line="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standard describes three levels of inputs that may be used to measure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93" w:right="339" w:bottom="1440" w:gutter="0" w:footer="0" w:header="0"/>
        </w:sectPr>
      </w:pPr>
    </w:p>
    <w:bookmarkStart w:id="9" w:name="page10"/>
    <w:bookmarkEnd w:id="9"/>
    <w:p>
      <w:pPr>
        <w:ind w:left="1660" w:right="860" w:hanging="915"/>
        <w:spacing w:after="0" w:line="237" w:lineRule="auto"/>
        <w:tabs>
          <w:tab w:leader="none" w:pos="1640" w:val="left"/>
        </w:tabs>
        <w:rPr>
          <w:sz w:val="20"/>
          <w:szCs w:val="20"/>
          <w:color w:val="auto"/>
        </w:rPr>
      </w:pPr>
      <w:r>
        <w:rPr>
          <w:rFonts w:ascii="Times New Roman" w:cs="Times New Roman" w:eastAsia="Times New Roman" w:hAnsi="Times New Roman"/>
          <w:sz w:val="18"/>
          <w:szCs w:val="18"/>
          <w:color w:val="auto"/>
        </w:rPr>
        <w:t>Level 1 —</w:t>
        <w:tab/>
        <w:t>Inputs to the valuation methodology are quoted prices available in active markets for identical investments as of the reporting date.</w:t>
      </w:r>
    </w:p>
    <w:p>
      <w:pPr>
        <w:spacing w:after="0" w:line="10" w:lineRule="exact"/>
        <w:rPr>
          <w:sz w:val="20"/>
          <w:szCs w:val="20"/>
          <w:color w:val="auto"/>
        </w:rPr>
      </w:pPr>
    </w:p>
    <w:p>
      <w:pPr>
        <w:ind w:left="740"/>
        <w:spacing w:after="0"/>
        <w:tabs>
          <w:tab w:leader="none" w:pos="1640" w:val="left"/>
        </w:tabs>
        <w:rPr>
          <w:sz w:val="20"/>
          <w:szCs w:val="20"/>
          <w:color w:val="auto"/>
        </w:rPr>
      </w:pPr>
      <w:r>
        <w:rPr>
          <w:rFonts w:ascii="Times New Roman" w:cs="Times New Roman" w:eastAsia="Times New Roman" w:hAnsi="Times New Roman"/>
          <w:sz w:val="18"/>
          <w:szCs w:val="18"/>
          <w:color w:val="auto"/>
        </w:rPr>
        <w:t>Level 2 —</w:t>
        <w:tab/>
        <w:t>Inputs to the valuation methodology include:</w:t>
      </w:r>
    </w:p>
    <w:p>
      <w:pPr>
        <w:spacing w:after="0" w:line="27" w:lineRule="exact"/>
        <w:rPr>
          <w:sz w:val="20"/>
          <w:szCs w:val="20"/>
          <w:color w:val="auto"/>
        </w:rPr>
      </w:pPr>
    </w:p>
    <w:p>
      <w:pPr>
        <w:ind w:left="2300" w:hanging="315"/>
        <w:spacing w:after="0"/>
        <w:tabs>
          <w:tab w:leader="none" w:pos="2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2" w:lineRule="exact"/>
        <w:rPr>
          <w:rFonts w:ascii="Times New Roman" w:cs="Times New Roman" w:eastAsia="Times New Roman" w:hAnsi="Times New Roman"/>
          <w:sz w:val="18"/>
          <w:szCs w:val="18"/>
          <w:color w:val="auto"/>
        </w:rPr>
      </w:pPr>
    </w:p>
    <w:p>
      <w:pPr>
        <w:ind w:left="2300" w:hanging="315"/>
        <w:spacing w:after="0"/>
        <w:tabs>
          <w:tab w:leader="none" w:pos="2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inactive markets;</w:t>
      </w:r>
    </w:p>
    <w:p>
      <w:pPr>
        <w:spacing w:after="0" w:line="22" w:lineRule="exact"/>
        <w:rPr>
          <w:rFonts w:ascii="Times New Roman" w:cs="Times New Roman" w:eastAsia="Times New Roman" w:hAnsi="Times New Roman"/>
          <w:sz w:val="18"/>
          <w:szCs w:val="18"/>
          <w:color w:val="auto"/>
        </w:rPr>
      </w:pPr>
    </w:p>
    <w:p>
      <w:pPr>
        <w:ind w:left="2300" w:hanging="315"/>
        <w:spacing w:after="0"/>
        <w:tabs>
          <w:tab w:leader="none" w:pos="2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w:t>
      </w:r>
    </w:p>
    <w:p>
      <w:pPr>
        <w:spacing w:after="0" w:line="22" w:lineRule="exact"/>
        <w:rPr>
          <w:rFonts w:ascii="Times New Roman" w:cs="Times New Roman" w:eastAsia="Times New Roman" w:hAnsi="Times New Roman"/>
          <w:sz w:val="18"/>
          <w:szCs w:val="18"/>
          <w:color w:val="auto"/>
        </w:rPr>
      </w:pPr>
    </w:p>
    <w:p>
      <w:pPr>
        <w:ind w:left="2300" w:right="1120" w:hanging="315"/>
        <w:spacing w:after="0" w:line="234" w:lineRule="auto"/>
        <w:tabs>
          <w:tab w:leader="none" w:pos="2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10" w:lineRule="exact"/>
        <w:rPr>
          <w:sz w:val="20"/>
          <w:szCs w:val="20"/>
          <w:color w:val="auto"/>
        </w:rPr>
      </w:pPr>
    </w:p>
    <w:p>
      <w:pPr>
        <w:ind w:left="1660" w:right="940"/>
        <w:spacing w:after="0" w:line="237" w:lineRule="auto"/>
        <w:rPr>
          <w:sz w:val="20"/>
          <w:szCs w:val="20"/>
          <w:color w:val="auto"/>
        </w:rPr>
      </w:pPr>
      <w:r>
        <w:rPr>
          <w:rFonts w:ascii="Times New Roman" w:cs="Times New Roman" w:eastAsia="Times New Roman" w:hAnsi="Times New Roman"/>
          <w:sz w:val="18"/>
          <w:szCs w:val="18"/>
          <w:color w:val="auto"/>
        </w:rPr>
        <w:t>If the asset or liability has a specified (contractual) term, the Level 2 input must be observable for substantially the full term of the asset or liability.</w:t>
      </w:r>
    </w:p>
    <w:p>
      <w:pPr>
        <w:spacing w:after="0" w:line="10" w:lineRule="exact"/>
        <w:rPr>
          <w:sz w:val="20"/>
          <w:szCs w:val="20"/>
          <w:color w:val="auto"/>
        </w:rPr>
      </w:pPr>
    </w:p>
    <w:p>
      <w:pPr>
        <w:ind w:left="1660" w:right="940" w:hanging="915"/>
        <w:spacing w:after="0" w:line="236" w:lineRule="auto"/>
        <w:tabs>
          <w:tab w:leader="none" w:pos="1640" w:val="left"/>
        </w:tabs>
        <w:rPr>
          <w:sz w:val="20"/>
          <w:szCs w:val="20"/>
          <w:color w:val="auto"/>
        </w:rPr>
      </w:pPr>
      <w:r>
        <w:rPr>
          <w:rFonts w:ascii="Times New Roman" w:cs="Times New Roman" w:eastAsia="Times New Roman" w:hAnsi="Times New Roman"/>
          <w:sz w:val="18"/>
          <w:szCs w:val="18"/>
          <w:color w:val="auto"/>
        </w:rPr>
        <w:t>Level 3 —</w:t>
      </w:r>
      <w:r>
        <w:rPr>
          <w:sz w:val="20"/>
          <w:szCs w:val="20"/>
          <w:color w:val="auto"/>
        </w:rPr>
        <w:tab/>
      </w:r>
      <w:r>
        <w:rPr>
          <w:rFonts w:ascii="Times New Roman" w:cs="Times New Roman" w:eastAsia="Times New Roman" w:hAnsi="Times New Roman"/>
          <w:sz w:val="17"/>
          <w:szCs w:val="17"/>
          <w:color w:val="auto"/>
        </w:rPr>
        <w:t>Inputs to the valuation methodology are unobservable inputs in situations where there is little or no market activity for the asset or liability and the reporting entity makes estimates and assumptions related to the pricing</w:t>
      </w:r>
    </w:p>
    <w:p>
      <w:pPr>
        <w:ind w:left="1660"/>
        <w:spacing w:after="0"/>
        <w:rPr>
          <w:sz w:val="20"/>
          <w:szCs w:val="20"/>
          <w:color w:val="auto"/>
        </w:rPr>
      </w:pPr>
      <w:r>
        <w:rPr>
          <w:rFonts w:ascii="Times New Roman" w:cs="Times New Roman" w:eastAsia="Times New Roman" w:hAnsi="Times New Roman"/>
          <w:sz w:val="18"/>
          <w:szCs w:val="18"/>
          <w:color w:val="auto"/>
        </w:rPr>
        <w:t>of the asset or liability including assumptions regarding risk.</w:t>
      </w:r>
    </w:p>
    <w:p>
      <w:pPr>
        <w:spacing w:after="0" w:line="84" w:lineRule="exact"/>
        <w:rPr>
          <w:sz w:val="20"/>
          <w:szCs w:val="20"/>
          <w:color w:val="auto"/>
        </w:rPr>
      </w:pPr>
    </w:p>
    <w:p>
      <w:pPr>
        <w:ind w:right="840"/>
        <w:spacing w:after="0" w:line="261" w:lineRule="auto"/>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any input that is significant to the fair value measurement.</w:t>
      </w:r>
    </w:p>
    <w:p>
      <w:pPr>
        <w:ind w:right="200"/>
        <w:spacing w:after="0" w:line="250" w:lineRule="auto"/>
        <w:rPr>
          <w:sz w:val="20"/>
          <w:szCs w:val="20"/>
          <w:color w:val="auto"/>
        </w:rPr>
      </w:pPr>
      <w:r>
        <w:rPr>
          <w:rFonts w:ascii="Times New Roman" w:cs="Times New Roman" w:eastAsia="Times New Roman" w:hAnsi="Times New Roman"/>
          <w:sz w:val="18"/>
          <w:szCs w:val="18"/>
          <w:color w:val="auto"/>
        </w:rPr>
        <w:t>The following is a description of the valuation methodologies used for instruments measured at fair value, including the general classification of such instruments pursuant to the valuation hierarchy.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and Other Exchange-Traded Equity Securities Including AECOM Stock</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fair value of these instruments is based on the closing price per the principal stock exchange on which they are traded and are classified within Level 1 of the valuation hierarchy. AECOM common stock is valued at the closing price reported on the New York Stock Exchange Composite Listing and is classified within Level 1 of the valuation hierarchy.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Mutual Funds</w:t>
      </w:r>
    </w:p>
    <w:p>
      <w:pPr>
        <w:spacing w:after="0" w:line="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 mutual fund is an investment company registered under the Investment Company Act of 1940 that pools the capital of many investors and invests it in stocks, bonds, short-term money market instruments, and/or other securities. These investments are public investment vehicles valued at the closing price reported in the active market in which the investments are traded. These investments are classified within Level 1 of the valuation hierarchy.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Self-Directed Brokerage Accounts</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Self-directed brokerage accounts are comprised of investments which are valued at the closing price reported in the active market in which the investments are traded. These investments are classified within Level 1 of the valuation hierarchy. In addition, the self-directed brokerage accounts also hold investments in fixed income instruments, such as government and corporate bonds, and certificate of deposits. Accordingly, these investments are classified within Level 2 of the valuation hierarchy.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Income Instruments</w:t>
      </w:r>
    </w:p>
    <w:p>
      <w:pPr>
        <w:spacing w:after="0" w:line="9"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Fixed income instruments are valued based on prices received from the fund custodian. The custodian uses multiple valuation techniques to determine the valuation of fixed income instruments. In instances where there is sufficient market activity, the custodian may utilize a market-based approach through which trades or quotes from similar instruments with comparable durations, yields, and credit ratings are used to determine the valuation of these instruments. In instances where there is insufficient market activity, the custodian may utilize proprietary valuation models that maximize observable inputs. The valuation models may consider market transactions in comparable securities, the various relationships between securities, and/or market characteristics to estimate the relevant cash flows, which are then discounted to calculate the fair values. Fixed income securities, which are valued based on significant observable inputs, are classified within Level 2 of the valuation hierarchy because quoted prices of identical instruments are not readily available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34" w:right="339" w:bottom="1440" w:gutter="0" w:footer="0" w:header="0"/>
        </w:sectPr>
      </w:pPr>
    </w:p>
    <w:bookmarkStart w:id="10" w:name="page11"/>
    <w:bookmarkEnd w:id="10"/>
    <w:p>
      <w:pPr>
        <w:ind w:left="640"/>
        <w:spacing w:after="0"/>
        <w:rPr>
          <w:sz w:val="20"/>
          <w:szCs w:val="20"/>
          <w:color w:val="auto"/>
        </w:rPr>
      </w:pPr>
      <w:r>
        <w:rPr>
          <w:rFonts w:ascii="Times New Roman" w:cs="Times New Roman" w:eastAsia="Times New Roman" w:hAnsi="Times New Roman"/>
          <w:sz w:val="18"/>
          <w:szCs w:val="18"/>
          <w:i w:val="1"/>
          <w:iCs w:val="1"/>
          <w:color w:val="auto"/>
        </w:rPr>
        <w:t>Collective Investment Trusts</w:t>
      </w:r>
    </w:p>
    <w:p>
      <w:pPr>
        <w:spacing w:after="0" w:line="79" w:lineRule="exact"/>
        <w:rPr>
          <w:sz w:val="20"/>
          <w:szCs w:val="20"/>
          <w:color w:val="auto"/>
        </w:rPr>
      </w:pPr>
    </w:p>
    <w:p>
      <w:pPr>
        <w:ind w:left="640"/>
        <w:spacing w:after="0" w:line="255" w:lineRule="auto"/>
        <w:rPr>
          <w:sz w:val="20"/>
          <w:szCs w:val="20"/>
          <w:color w:val="auto"/>
        </w:rPr>
      </w:pPr>
      <w:r>
        <w:rPr>
          <w:rFonts w:ascii="Times New Roman" w:cs="Times New Roman" w:eastAsia="Times New Roman" w:hAnsi="Times New Roman"/>
          <w:sz w:val="18"/>
          <w:szCs w:val="18"/>
          <w:color w:val="auto"/>
        </w:rPr>
        <w:t>A collective investment trust is a trust for the collective investment and reinvestment of assets contributed from employee benefit plans maintained by more than one plan. These investments are valued using the net asset value (“NAV”) provided by the administrator of the collective trust. The NAV is based on the value of the underlying assets owned by the fund, minus its liabilities, and then divided by the number of shares outstanding. The NAV is used as a practical expedient to estimate fair value. The collective investment trusts are not classified within the fair value hierarchy; however, the amounts measured using NAV is disclosed to permit reconciliation of the fair value of investments to the Statements of Net Assets Available for Benefits. These funds may also include short-term investment funds, which are valued based on significant observable inputs, and are classified within Level 2 of the valuation hierarchy.</w:t>
      </w:r>
    </w:p>
    <w:p>
      <w:pPr>
        <w:spacing w:after="0" w:line="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White Label Funds</w:t>
      </w:r>
    </w:p>
    <w:p>
      <w:pPr>
        <w:spacing w:after="0" w:line="79" w:lineRule="exact"/>
        <w:rPr>
          <w:sz w:val="20"/>
          <w:szCs w:val="20"/>
          <w:color w:val="auto"/>
        </w:rPr>
      </w:pPr>
    </w:p>
    <w:p>
      <w:pPr>
        <w:ind w:left="640" w:right="140"/>
        <w:spacing w:after="0" w:line="253" w:lineRule="auto"/>
        <w:rPr>
          <w:sz w:val="20"/>
          <w:szCs w:val="20"/>
          <w:color w:val="auto"/>
        </w:rPr>
      </w:pPr>
      <w:r>
        <w:rPr>
          <w:rFonts w:ascii="Times New Roman" w:cs="Times New Roman" w:eastAsia="Times New Roman" w:hAnsi="Times New Roman"/>
          <w:sz w:val="18"/>
          <w:szCs w:val="18"/>
          <w:color w:val="auto"/>
        </w:rPr>
        <w:t>The Plan has two white label funds, the AECOM U.S. Large Cap Stock Fund and the AECOM U.S. Small-Mid Cap Stock Fund. These funds are custom investment options that employ a fund of funds approach, where the fund's assets are diversified across multiple stock portfolios. The AECOM U.S. Large Cap Stock Fund currently consist of two collective investment trusts and a mutual fund that are designed to provide long-term capital growth, with performance benchmarked against the Russell 1000 Index. The AECOM U.S. Small-Mid Cap Stock Fund currently consist of a single investment in a collective investment trust that is designed to provide capital appreciation by investing primarily in U.S. common stocks of small- and mid-sized companies included in the Russell 2500 Index. The fair value of the white label funds are based on the underlying assets which are currently Level 1 of the valuation hierarchy and using the NAV as a practical expedient.</w:t>
      </w:r>
    </w:p>
    <w:p>
      <w:pPr>
        <w:spacing w:after="0" w:line="3" w:lineRule="exact"/>
        <w:rPr>
          <w:sz w:val="20"/>
          <w:szCs w:val="20"/>
          <w:color w:val="auto"/>
        </w:rPr>
      </w:pPr>
    </w:p>
    <w:p>
      <w:pPr>
        <w:ind w:left="640" w:right="2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Subsequent Events — </w:t>
      </w:r>
      <w:r>
        <w:rPr>
          <w:rFonts w:ascii="Times New Roman" w:cs="Times New Roman" w:eastAsia="Times New Roman" w:hAnsi="Times New Roman"/>
          <w:sz w:val="18"/>
          <w:szCs w:val="18"/>
          <w:color w:val="auto"/>
        </w:rPr>
        <w:t>The Plan monitors significant events occurring after the balance sheet date and prior to the issuance of the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statements to determine the impacts, if any, of events on the financial statements to be issued. The Plan has evaluated subsequent events through the date which the financial statements are issued.</w:t>
      </w:r>
    </w:p>
    <w:p>
      <w:pPr>
        <w:spacing w:after="0" w:line="249" w:lineRule="exact"/>
        <w:rPr>
          <w:sz w:val="20"/>
          <w:szCs w:val="20"/>
          <w:color w:val="auto"/>
        </w:rPr>
      </w:pPr>
    </w:p>
    <w:p>
      <w:pPr>
        <w:ind w:left="800" w:hanging="794"/>
        <w:spacing w:after="0"/>
        <w:tabs>
          <w:tab w:leader="none" w:pos="8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Below are the Plan’s investments carried at fair value on a recurring basis by the ASC 820-10 fair value hierarchy levels described in Note B:</w:t>
      </w:r>
    </w:p>
    <w:p>
      <w:pPr>
        <w:spacing w:after="0" w:line="147" w:lineRule="exact"/>
        <w:rPr>
          <w:sz w:val="20"/>
          <w:szCs w:val="20"/>
          <w:color w:val="auto"/>
        </w:rPr>
      </w:pPr>
    </w:p>
    <w:tbl>
      <w:tblPr>
        <w:tblLayout w:type="fixed"/>
        <w:tblInd w:w="640" w:type="dxa"/>
        <w:tblCellMar>
          <w:top w:w="0" w:type="dxa"/>
          <w:left w:w="0" w:type="dxa"/>
          <w:bottom w:w="0" w:type="dxa"/>
          <w:right w:w="0" w:type="dxa"/>
        </w:tblCellMar>
      </w:tblPr>
      <w:tr>
        <w:trPr>
          <w:trHeight w:val="215"/>
        </w:trPr>
        <w:tc>
          <w:tcPr>
            <w:tcW w:w="5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Quoted Prices in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13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100" w:type="dxa"/>
            <w:vAlign w:val="bottom"/>
          </w:tcPr>
          <w:p>
            <w:pPr>
              <w:spacing w:after="0"/>
              <w:rPr>
                <w:sz w:val="14"/>
                <w:szCs w:val="14"/>
                <w:color w:val="auto"/>
              </w:rPr>
            </w:pPr>
          </w:p>
        </w:tc>
        <w:tc>
          <w:tcPr>
            <w:tcW w:w="1260" w:type="dxa"/>
            <w:vAlign w:val="bottom"/>
            <w:vMerge w:val="restart"/>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8"/>
              </w:rPr>
              <w:t>Total Fair Value</w:t>
            </w:r>
          </w:p>
        </w:tc>
        <w:tc>
          <w:tcPr>
            <w:tcW w:w="0" w:type="dxa"/>
            <w:vAlign w:val="bottom"/>
          </w:tcPr>
          <w:p>
            <w:pPr>
              <w:spacing w:after="0"/>
              <w:rPr>
                <w:sz w:val="1"/>
                <w:szCs w:val="1"/>
                <w:color w:val="auto"/>
              </w:rPr>
            </w:pPr>
          </w:p>
        </w:tc>
      </w:tr>
      <w:tr>
        <w:trPr>
          <w:trHeight w:val="214"/>
        </w:trPr>
        <w:tc>
          <w:tcPr>
            <w:tcW w:w="5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thousands)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573,112</w:t>
            </w:r>
          </w:p>
        </w:tc>
        <w:tc>
          <w:tcPr>
            <w:tcW w:w="38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573,112</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AECOM common stock</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446,480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446,480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495,278</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24,468</w:t>
            </w: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519,746</w:t>
            </w:r>
          </w:p>
        </w:tc>
        <w:tc>
          <w:tcPr>
            <w:tcW w:w="0" w:type="dxa"/>
            <w:vAlign w:val="bottom"/>
          </w:tcPr>
          <w:p>
            <w:pPr>
              <w:spacing w:after="0"/>
              <w:rPr>
                <w:sz w:val="1"/>
                <w:szCs w:val="1"/>
                <w:color w:val="auto"/>
              </w:rPr>
            </w:pPr>
          </w:p>
        </w:tc>
      </w:tr>
      <w:tr>
        <w:trPr>
          <w:trHeight w:val="223"/>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investments in the fair value hierarchy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1,514,870</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1,539,338</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Investments measured at NAV</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1,400,228</w:t>
            </w:r>
          </w:p>
        </w:tc>
        <w:tc>
          <w:tcPr>
            <w:tcW w:w="0" w:type="dxa"/>
            <w:vAlign w:val="bottom"/>
          </w:tcPr>
          <w:p>
            <w:pPr>
              <w:spacing w:after="0"/>
              <w:rPr>
                <w:sz w:val="1"/>
                <w:szCs w:val="1"/>
                <w:color w:val="auto"/>
              </w:rPr>
            </w:pPr>
          </w:p>
        </w:tc>
      </w:tr>
      <w:tr>
        <w:trPr>
          <w:trHeight w:val="223"/>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2,939,566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2" w:right="339" w:bottom="1440" w:gutter="0" w:footer="0" w:header="0"/>
        </w:sectPr>
      </w:pPr>
    </w:p>
    <w:bookmarkStart w:id="11" w:name="page12"/>
    <w:bookmarkEnd w:id="11"/>
    <w:tbl>
      <w:tblPr>
        <w:tblLayout w:type="fixed"/>
        <w:tblInd w:w="64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8"/>
          </w:tcPr>
          <w:p>
            <w:pPr>
              <w:jc w:val="center"/>
              <w:ind w:left="1073"/>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Quoted Prices in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13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100" w:type="dxa"/>
            <w:vAlign w:val="bottom"/>
          </w:tcPr>
          <w:p>
            <w:pPr>
              <w:spacing w:after="0"/>
              <w:rPr>
                <w:sz w:val="14"/>
                <w:szCs w:val="14"/>
                <w:color w:val="auto"/>
              </w:rPr>
            </w:pPr>
          </w:p>
        </w:tc>
        <w:tc>
          <w:tcPr>
            <w:tcW w:w="1260" w:type="dxa"/>
            <w:vAlign w:val="bottom"/>
            <w:vMerge w:val="restart"/>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8"/>
              </w:rPr>
              <w:t>Total Fair Value</w:t>
            </w:r>
          </w:p>
        </w:tc>
        <w:tc>
          <w:tcPr>
            <w:tcW w:w="0" w:type="dxa"/>
            <w:vAlign w:val="bottom"/>
          </w:tcPr>
          <w:p>
            <w:pPr>
              <w:spacing w:after="0"/>
              <w:rPr>
                <w:sz w:val="1"/>
                <w:szCs w:val="1"/>
                <w:color w:val="auto"/>
              </w:rPr>
            </w:pPr>
          </w:p>
        </w:tc>
      </w:tr>
      <w:tr>
        <w:trPr>
          <w:trHeight w:val="214"/>
        </w:trPr>
        <w:tc>
          <w:tcPr>
            <w:tcW w:w="5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thousands)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597,766</w:t>
            </w:r>
          </w:p>
        </w:tc>
        <w:tc>
          <w:tcPr>
            <w:tcW w:w="38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597,766</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AECOM common stock</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521,670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521,670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430,682</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24,356</w:t>
            </w: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455,038</w:t>
            </w:r>
          </w:p>
        </w:tc>
        <w:tc>
          <w:tcPr>
            <w:tcW w:w="0" w:type="dxa"/>
            <w:vAlign w:val="bottom"/>
          </w:tcPr>
          <w:p>
            <w:pPr>
              <w:spacing w:after="0"/>
              <w:rPr>
                <w:sz w:val="1"/>
                <w:szCs w:val="1"/>
                <w:color w:val="auto"/>
              </w:rPr>
            </w:pPr>
          </w:p>
        </w:tc>
      </w:tr>
      <w:tr>
        <w:trPr>
          <w:trHeight w:val="223"/>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investments in the fair value hierarchy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1,550,118</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1,574,474</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Investments measured at NAV</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725,056</w:t>
            </w:r>
          </w:p>
        </w:tc>
        <w:tc>
          <w:tcPr>
            <w:tcW w:w="0" w:type="dxa"/>
            <w:vAlign w:val="bottom"/>
          </w:tcPr>
          <w:p>
            <w:pPr>
              <w:spacing w:after="0"/>
              <w:rPr>
                <w:sz w:val="1"/>
                <w:szCs w:val="1"/>
                <w:color w:val="auto"/>
              </w:rPr>
            </w:pPr>
          </w:p>
        </w:tc>
      </w:tr>
      <w:tr>
        <w:trPr>
          <w:trHeight w:val="223"/>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2,299,530</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Net Asset Value per Share — </w:t>
      </w:r>
      <w:r>
        <w:rPr>
          <w:rFonts w:ascii="Times New Roman" w:cs="Times New Roman" w:eastAsia="Times New Roman" w:hAnsi="Times New Roman"/>
          <w:sz w:val="18"/>
          <w:szCs w:val="18"/>
          <w:color w:val="auto"/>
        </w:rPr>
        <w:t>The following tables summarize investments measured at NAV per share as of December 31, 2025 and 2024:</w:t>
      </w:r>
    </w:p>
    <w:p>
      <w:pPr>
        <w:spacing w:after="0" w:line="113"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150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Frequency (if</w:t>
            </w:r>
          </w:p>
        </w:tc>
        <w:tc>
          <w:tcPr>
            <w:tcW w:w="1500" w:type="dxa"/>
            <w:vAlign w:val="bottom"/>
            <w:gridSpan w:val="2"/>
            <w:vMerge w:val="continue"/>
          </w:tcPr>
          <w:p>
            <w:pPr>
              <w:spacing w:after="0"/>
              <w:rPr>
                <w:sz w:val="16"/>
                <w:szCs w:val="16"/>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0" w:type="dxa"/>
            <w:vAlign w:val="bottom"/>
          </w:tcPr>
          <w:p>
            <w:pPr>
              <w:spacing w:after="0"/>
              <w:rPr>
                <w:sz w:val="1"/>
                <w:szCs w:val="1"/>
                <w:color w:val="auto"/>
              </w:rPr>
            </w:pPr>
          </w:p>
        </w:tc>
      </w:tr>
      <w:tr>
        <w:trPr>
          <w:trHeight w:val="176"/>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15"/>
                <w:szCs w:val="15"/>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5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Currently</w:t>
            </w:r>
          </w:p>
        </w:tc>
        <w:tc>
          <w:tcPr>
            <w:tcW w:w="15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Redemption</w:t>
            </w: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4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Eligible)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Restrictions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Notice Period</w:t>
            </w:r>
          </w:p>
        </w:tc>
        <w:tc>
          <w:tcPr>
            <w:tcW w:w="0" w:type="dxa"/>
            <w:vAlign w:val="bottom"/>
          </w:tcPr>
          <w:p>
            <w:pPr>
              <w:spacing w:after="0"/>
              <w:rPr>
                <w:sz w:val="1"/>
                <w:szCs w:val="1"/>
                <w:color w:val="auto"/>
              </w:rPr>
            </w:pPr>
          </w:p>
        </w:tc>
      </w:tr>
      <w:tr>
        <w:trPr>
          <w:trHeight w:val="223"/>
        </w:trPr>
        <w:tc>
          <w:tcPr>
            <w:tcW w:w="2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(expressed in thousands)</w:t>
            </w:r>
          </w:p>
        </w:tc>
        <w:tc>
          <w:tcPr>
            <w:tcW w:w="1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4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Fidelity Growth Company</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Fund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568,254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None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184"/>
        </w:trPr>
        <w:tc>
          <w:tcPr>
            <w:tcW w:w="24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T. Rowe Price Structured</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Common Trust Fund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585,114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None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184"/>
        </w:trPr>
        <w:tc>
          <w:tcPr>
            <w:tcW w:w="24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EARNEST Partners Emerging</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Fund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246,860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None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878"/>
        </w:trPr>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15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Frequency (if</w:t>
            </w:r>
          </w:p>
        </w:tc>
        <w:tc>
          <w:tcPr>
            <w:tcW w:w="1500" w:type="dxa"/>
            <w:vAlign w:val="bottom"/>
            <w:gridSpan w:val="2"/>
            <w:vMerge w:val="continue"/>
          </w:tcPr>
          <w:p>
            <w:pPr>
              <w:spacing w:after="0"/>
              <w:rPr>
                <w:sz w:val="15"/>
                <w:szCs w:val="15"/>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0" w:type="dxa"/>
            <w:vAlign w:val="bottom"/>
          </w:tcPr>
          <w:p>
            <w:pPr>
              <w:spacing w:after="0"/>
              <w:rPr>
                <w:sz w:val="1"/>
                <w:szCs w:val="1"/>
                <w:color w:val="auto"/>
              </w:rPr>
            </w:pPr>
          </w:p>
        </w:tc>
      </w:tr>
      <w:tr>
        <w:trPr>
          <w:trHeight w:val="175"/>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15"/>
                <w:szCs w:val="15"/>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5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Currently</w:t>
            </w:r>
          </w:p>
        </w:tc>
        <w:tc>
          <w:tcPr>
            <w:tcW w:w="15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Redemption</w:t>
            </w: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Eligible)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Restrictions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Notice Period</w:t>
            </w:r>
          </w:p>
        </w:tc>
        <w:tc>
          <w:tcPr>
            <w:tcW w:w="0" w:type="dxa"/>
            <w:vAlign w:val="bottom"/>
          </w:tcPr>
          <w:p>
            <w:pPr>
              <w:spacing w:after="0"/>
              <w:rPr>
                <w:sz w:val="1"/>
                <w:szCs w:val="1"/>
                <w:color w:val="auto"/>
              </w:rPr>
            </w:pPr>
          </w:p>
        </w:tc>
      </w:tr>
      <w:tr>
        <w:trPr>
          <w:trHeight w:val="223"/>
        </w:trPr>
        <w:tc>
          <w:tcPr>
            <w:tcW w:w="2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(expressed in thousands)</w:t>
            </w:r>
          </w:p>
        </w:tc>
        <w:tc>
          <w:tcPr>
            <w:tcW w:w="1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Fidelity Growth Company</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Fund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725,056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None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800" w:hanging="794"/>
        <w:spacing w:after="0"/>
        <w:tabs>
          <w:tab w:leader="none" w:pos="8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AECOM DC RETIREMENT PLANS VANGUARD MASTER TRUST</w:t>
      </w:r>
    </w:p>
    <w:p>
      <w:pPr>
        <w:spacing w:after="0" w:line="108" w:lineRule="exact"/>
        <w:rPr>
          <w:sz w:val="20"/>
          <w:szCs w:val="20"/>
          <w:color w:val="auto"/>
        </w:rPr>
      </w:pPr>
    </w:p>
    <w:p>
      <w:pPr>
        <w:ind w:left="640"/>
        <w:spacing w:after="0" w:line="258" w:lineRule="auto"/>
        <w:rPr>
          <w:sz w:val="20"/>
          <w:szCs w:val="20"/>
          <w:color w:val="auto"/>
        </w:rPr>
      </w:pPr>
      <w:r>
        <w:rPr>
          <w:rFonts w:ascii="Times New Roman" w:cs="Times New Roman" w:eastAsia="Times New Roman" w:hAnsi="Times New Roman"/>
          <w:sz w:val="18"/>
          <w:szCs w:val="18"/>
          <w:color w:val="auto"/>
        </w:rPr>
        <w:t>Certain investment assets of the Plan are held in a custody account at The Vanguard Group and consist of a 100% interest in the investment account of the AECOM DC Retirement Plans Vanguard Master Trust (“Vanguard Master Trust”), a master trust established by AECOM and administered by the Trustee. The Trustee maintains supporting records for the purpose of allocating the net gain or loss of the investment funds to the current sole participating plan. Investment gains or losses are recognized as earned based on the terms of the investments and the period during which the investments were held by the Vanguard Master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30" w:right="359" w:bottom="1440" w:gutter="0" w:footer="0" w:header="0"/>
        </w:sectPr>
      </w:pPr>
    </w:p>
    <w:bookmarkStart w:id="12" w:name="page13"/>
    <w:bookmarkEnd w:id="12"/>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net assets of the Vanguard Master Trust as of December 31:</w:t>
      </w:r>
    </w:p>
    <w:p>
      <w:pPr>
        <w:spacing w:after="0" w:line="113"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Vanguard Master Trust</w:t>
            </w:r>
          </w:p>
        </w:tc>
      </w:tr>
      <w:tr>
        <w:trPr>
          <w:trHeight w:val="223"/>
        </w:trPr>
        <w:tc>
          <w:tcPr>
            <w:tcW w:w="5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2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(expressed in thousands)</w:t>
            </w: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Collective investment trusts (measured at NAV)</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3,413,123</w:t>
            </w:r>
          </w:p>
        </w:tc>
        <w:tc>
          <w:tcPr>
            <w:tcW w:w="1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2,734,006</w:t>
            </w:r>
          </w:p>
        </w:tc>
      </w:tr>
      <w:tr>
        <w:trPr>
          <w:trHeight w:val="229"/>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Mutual funds</w:t>
            </w:r>
          </w:p>
        </w:tc>
        <w:tc>
          <w:tcPr>
            <w:tcW w:w="4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630,038</w:t>
            </w:r>
          </w:p>
        </w:tc>
      </w:tr>
      <w:tr>
        <w:trPr>
          <w:trHeight w:val="250"/>
        </w:trPr>
        <w:tc>
          <w:tcPr>
            <w:tcW w:w="5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r>
      <w:tr>
        <w:trPr>
          <w:trHeight w:val="25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of Vanguard Master Trust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3,413,123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3,364,044</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changes in net assets for the Vanguard Master Trust for the year ended December 31:</w:t>
      </w:r>
    </w:p>
    <w:p>
      <w:pPr>
        <w:spacing w:after="0" w:line="113"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(expressed in thousands)</w:t>
            </w: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assets:</w:t>
            </w: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r>
      <w:tr>
        <w:trPr>
          <w:trHeight w:val="229"/>
        </w:trPr>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532,759</w:t>
            </w:r>
          </w:p>
        </w:tc>
      </w:tr>
      <w:tr>
        <w:trPr>
          <w:trHeight w:val="229"/>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investment income</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532,763</w:t>
            </w:r>
          </w:p>
        </w:tc>
      </w:tr>
      <w:tr>
        <w:trPr>
          <w:trHeight w:val="270"/>
        </w:trPr>
        <w:tc>
          <w:tcPr>
            <w:tcW w:w="6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r>
      <w:tr>
        <w:trPr>
          <w:trHeight w:val="230"/>
        </w:trPr>
        <w:tc>
          <w:tcPr>
            <w:tcW w:w="6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purchases (redemptions)</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(482,636)</w:t>
            </w:r>
          </w:p>
        </w:tc>
      </w:tr>
      <w:tr>
        <w:trPr>
          <w:trHeight w:val="230"/>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50"/>
        </w:trPr>
        <w:tc>
          <w:tcPr>
            <w:tcW w:w="6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net assets</w:t>
            </w: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49,079</w:t>
            </w:r>
          </w:p>
        </w:tc>
      </w:tr>
      <w:tr>
        <w:trPr>
          <w:trHeight w:val="270"/>
        </w:trPr>
        <w:tc>
          <w:tcPr>
            <w:tcW w:w="6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00" w:type="dxa"/>
            <w:vAlign w:val="bottom"/>
          </w:tcPr>
          <w:p>
            <w:pPr>
              <w:spacing w:after="0"/>
              <w:rPr>
                <w:sz w:val="23"/>
                <w:szCs w:val="23"/>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w:t>
            </w: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r>
      <w:tr>
        <w:trPr>
          <w:trHeight w:val="230"/>
        </w:trPr>
        <w:tc>
          <w:tcPr>
            <w:tcW w:w="6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Beginning of year</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3,364,044</w:t>
            </w:r>
          </w:p>
        </w:tc>
      </w:tr>
      <w:tr>
        <w:trPr>
          <w:trHeight w:val="248"/>
        </w:trPr>
        <w:tc>
          <w:tcPr>
            <w:tcW w:w="6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3,413,123</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NAV was used as a practical expedient to estimate fair value for all investments held in the Vanguard Master Trust on December 31, 2025.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set forth by level, within the fair value hierarchy, the Vanguard Master Trust assets at fair value as of December 31, 2024:</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center"/>
              <w:ind w:left="1055"/>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right="15"/>
              <w:spacing w:after="0" w:line="155" w:lineRule="exact"/>
              <w:rPr>
                <w:sz w:val="20"/>
                <w:szCs w:val="20"/>
                <w:color w:val="auto"/>
              </w:rPr>
            </w:pPr>
            <w:r>
              <w:rPr>
                <w:rFonts w:ascii="Times New Roman" w:cs="Times New Roman" w:eastAsia="Times New Roman" w:hAnsi="Times New Roman"/>
                <w:sz w:val="16"/>
                <w:szCs w:val="16"/>
                <w:b w:val="1"/>
                <w:bCs w:val="1"/>
                <w:color w:val="auto"/>
              </w:rPr>
              <w:t>Quoted Prices in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13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15"/>
              <w:spacing w:after="0" w:line="162"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120" w:type="dxa"/>
            <w:vAlign w:val="bottom"/>
          </w:tcPr>
          <w:p>
            <w:pPr>
              <w:spacing w:after="0"/>
              <w:rPr>
                <w:sz w:val="14"/>
                <w:szCs w:val="14"/>
                <w:color w:val="auto"/>
              </w:rPr>
            </w:pPr>
          </w:p>
        </w:tc>
        <w:tc>
          <w:tcPr>
            <w:tcW w:w="128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8"/>
              </w:rPr>
              <w:t>Total Fair Value</w:t>
            </w:r>
          </w:p>
        </w:tc>
        <w:tc>
          <w:tcPr>
            <w:tcW w:w="0" w:type="dxa"/>
            <w:vAlign w:val="bottom"/>
          </w:tcPr>
          <w:p>
            <w:pPr>
              <w:spacing w:after="0"/>
              <w:rPr>
                <w:sz w:val="1"/>
                <w:szCs w:val="1"/>
                <w:color w:val="auto"/>
              </w:rPr>
            </w:pPr>
          </w:p>
        </w:tc>
      </w:tr>
      <w:tr>
        <w:trPr>
          <w:trHeight w:val="214"/>
        </w:trPr>
        <w:tc>
          <w:tcPr>
            <w:tcW w:w="5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0" w:type="dxa"/>
            <w:vAlign w:val="bottom"/>
            <w:gridSpan w:val="6"/>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(expressed in thousands)</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630,038</w:t>
            </w:r>
          </w:p>
        </w:tc>
        <w:tc>
          <w:tcPr>
            <w:tcW w:w="36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630,038</w:t>
            </w:r>
          </w:p>
        </w:tc>
        <w:tc>
          <w:tcPr>
            <w:tcW w:w="0" w:type="dxa"/>
            <w:vAlign w:val="bottom"/>
          </w:tcPr>
          <w:p>
            <w:pPr>
              <w:spacing w:after="0"/>
              <w:rPr>
                <w:sz w:val="1"/>
                <w:szCs w:val="1"/>
                <w:color w:val="auto"/>
              </w:rPr>
            </w:pPr>
          </w:p>
        </w:tc>
      </w:tr>
      <w:tr>
        <w:trPr>
          <w:trHeight w:val="223"/>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investments in the fair value hierarchy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630,038</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630,038</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measured at NAV</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2,734,006</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3,364,044</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980" w:top="1440" w:right="639" w:bottom="1440" w:gutter="0" w:footer="0" w:header="0"/>
        </w:sectPr>
      </w:pPr>
    </w:p>
    <w:bookmarkStart w:id="13" w:name="page14"/>
    <w:bookmarkEnd w:id="13"/>
    <w:p>
      <w:pPr>
        <w:ind w:left="634" w:right="28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Net Asset Value per Share — </w:t>
      </w:r>
      <w:r>
        <w:rPr>
          <w:rFonts w:ascii="Times New Roman" w:cs="Times New Roman" w:eastAsia="Times New Roman" w:hAnsi="Times New Roman"/>
          <w:sz w:val="18"/>
          <w:szCs w:val="18"/>
          <w:color w:val="auto"/>
        </w:rPr>
        <w:t>The following tables summarize investments measured at NAV per share as of December 31, 2025 and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w:t>
      </w:r>
    </w:p>
    <w:p>
      <w:pPr>
        <w:spacing w:after="0" w:line="65" w:lineRule="exact"/>
        <w:rPr>
          <w:sz w:val="20"/>
          <w:szCs w:val="20"/>
          <w:color w:val="auto"/>
        </w:rPr>
      </w:pPr>
    </w:p>
    <w:tbl>
      <w:tblPr>
        <w:tblLayout w:type="fixed"/>
        <w:tblInd w:w="634"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40" w:type="dxa"/>
            <w:vAlign w:val="bottom"/>
          </w:tcPr>
          <w:p>
            <w:pPr>
              <w:spacing w:after="0"/>
              <w:rPr>
                <w:sz w:val="17"/>
                <w:szCs w:val="17"/>
                <w:color w:val="auto"/>
              </w:rPr>
            </w:pPr>
          </w:p>
        </w:tc>
        <w:tc>
          <w:tcPr>
            <w:tcW w:w="14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60" w:type="dxa"/>
            <w:vAlign w:val="bottom"/>
          </w:tcPr>
          <w:p>
            <w:pPr>
              <w:spacing w:after="0"/>
              <w:rPr>
                <w:sz w:val="15"/>
                <w:szCs w:val="15"/>
                <w:color w:val="auto"/>
              </w:rPr>
            </w:pPr>
          </w:p>
        </w:tc>
        <w:tc>
          <w:tcPr>
            <w:tcW w:w="1440" w:type="dxa"/>
            <w:vAlign w:val="bottom"/>
            <w:gridSpan w:val="3"/>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Frequency (if</w:t>
            </w:r>
          </w:p>
        </w:tc>
        <w:tc>
          <w:tcPr>
            <w:tcW w:w="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0" w:type="dxa"/>
            <w:vAlign w:val="bottom"/>
          </w:tcPr>
          <w:p>
            <w:pPr>
              <w:spacing w:after="0"/>
              <w:rPr>
                <w:sz w:val="1"/>
                <w:szCs w:val="1"/>
                <w:color w:val="auto"/>
              </w:rPr>
            </w:pPr>
          </w:p>
        </w:tc>
      </w:tr>
      <w:tr>
        <w:trPr>
          <w:trHeight w:val="189"/>
        </w:trPr>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3"/>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rPr>
              <w:t>Currently</w:t>
            </w:r>
          </w:p>
        </w:tc>
        <w:tc>
          <w:tcPr>
            <w:tcW w:w="40" w:type="dxa"/>
            <w:vAlign w:val="bottom"/>
          </w:tcPr>
          <w:p>
            <w:pPr>
              <w:spacing w:after="0"/>
              <w:rPr>
                <w:sz w:val="16"/>
                <w:szCs w:val="16"/>
                <w:color w:val="auto"/>
              </w:rPr>
            </w:pPr>
          </w:p>
        </w:tc>
        <w:tc>
          <w:tcPr>
            <w:tcW w:w="146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Redemption</w:t>
            </w:r>
          </w:p>
        </w:tc>
        <w:tc>
          <w:tcPr>
            <w:tcW w:w="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44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60" w:type="dxa"/>
            <w:vAlign w:val="bottom"/>
          </w:tcPr>
          <w:p>
            <w:pPr>
              <w:spacing w:after="0"/>
              <w:rPr>
                <w:sz w:val="19"/>
                <w:szCs w:val="19"/>
                <w:color w:val="auto"/>
              </w:rPr>
            </w:pPr>
          </w:p>
        </w:tc>
        <w:tc>
          <w:tcPr>
            <w:tcW w:w="14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Eligible)</w:t>
            </w:r>
          </w:p>
        </w:tc>
        <w:tc>
          <w:tcPr>
            <w:tcW w:w="40" w:type="dxa"/>
            <w:vAlign w:val="bottom"/>
          </w:tcPr>
          <w:p>
            <w:pPr>
              <w:spacing w:after="0"/>
              <w:rPr>
                <w:sz w:val="19"/>
                <w:szCs w:val="19"/>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Restrictions</w:t>
            </w:r>
          </w:p>
        </w:tc>
        <w:tc>
          <w:tcPr>
            <w:tcW w:w="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Notice Period</w:t>
            </w:r>
          </w:p>
        </w:tc>
        <w:tc>
          <w:tcPr>
            <w:tcW w:w="0" w:type="dxa"/>
            <w:vAlign w:val="bottom"/>
          </w:tcPr>
          <w:p>
            <w:pPr>
              <w:spacing w:after="0"/>
              <w:rPr>
                <w:sz w:val="1"/>
                <w:szCs w:val="1"/>
                <w:color w:val="auto"/>
              </w:rPr>
            </w:pPr>
          </w:p>
        </w:tc>
      </w:tr>
      <w:tr>
        <w:trPr>
          <w:trHeight w:val="223"/>
        </w:trPr>
        <w:tc>
          <w:tcPr>
            <w:tcW w:w="23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(expressed in thousands)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date funds</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2,016,233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Daily</w:t>
            </w:r>
          </w:p>
        </w:tc>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7"/>
              </w:rPr>
              <w:t>None</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34"/>
        </w:trPr>
        <w:tc>
          <w:tcPr>
            <w:tcW w:w="2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Index funds</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1,396,890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Daily</w:t>
            </w:r>
          </w:p>
        </w:tc>
        <w:tc>
          <w:tcPr>
            <w:tcW w:w="40" w:type="dxa"/>
            <w:vAlign w:val="bottom"/>
          </w:tcPr>
          <w:p>
            <w:pPr>
              <w:spacing w:after="0"/>
              <w:rPr>
                <w:sz w:val="20"/>
                <w:szCs w:val="20"/>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None</w:t>
            </w:r>
          </w:p>
        </w:tc>
        <w:tc>
          <w:tcPr>
            <w:tcW w:w="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535"/>
        </w:trPr>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40" w:type="dxa"/>
            <w:vAlign w:val="bottom"/>
          </w:tcPr>
          <w:p>
            <w:pPr>
              <w:spacing w:after="0"/>
              <w:rPr>
                <w:sz w:val="24"/>
                <w:szCs w:val="24"/>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60" w:type="dxa"/>
            <w:vAlign w:val="bottom"/>
          </w:tcPr>
          <w:p>
            <w:pPr>
              <w:spacing w:after="0"/>
              <w:rPr>
                <w:sz w:val="15"/>
                <w:szCs w:val="15"/>
                <w:color w:val="auto"/>
              </w:rPr>
            </w:pPr>
          </w:p>
        </w:tc>
        <w:tc>
          <w:tcPr>
            <w:tcW w:w="144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Frequency (if</w:t>
            </w:r>
          </w:p>
        </w:tc>
        <w:tc>
          <w:tcPr>
            <w:tcW w:w="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0" w:type="dxa"/>
            <w:vAlign w:val="bottom"/>
          </w:tcPr>
          <w:p>
            <w:pPr>
              <w:spacing w:after="0"/>
              <w:rPr>
                <w:sz w:val="1"/>
                <w:szCs w:val="1"/>
                <w:color w:val="auto"/>
              </w:rPr>
            </w:pPr>
          </w:p>
        </w:tc>
      </w:tr>
      <w:tr>
        <w:trPr>
          <w:trHeight w:val="176"/>
        </w:trPr>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Currently</w:t>
            </w:r>
          </w:p>
        </w:tc>
        <w:tc>
          <w:tcPr>
            <w:tcW w:w="40" w:type="dxa"/>
            <w:vAlign w:val="bottom"/>
          </w:tcPr>
          <w:p>
            <w:pPr>
              <w:spacing w:after="0"/>
              <w:rPr>
                <w:sz w:val="15"/>
                <w:szCs w:val="15"/>
                <w:color w:val="auto"/>
              </w:rPr>
            </w:pPr>
          </w:p>
        </w:tc>
        <w:tc>
          <w:tcPr>
            <w:tcW w:w="14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Redemption</w:t>
            </w:r>
          </w:p>
        </w:tc>
        <w:tc>
          <w:tcPr>
            <w:tcW w:w="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60" w:type="dxa"/>
            <w:vAlign w:val="bottom"/>
          </w:tcPr>
          <w:p>
            <w:pPr>
              <w:spacing w:after="0"/>
              <w:rPr>
                <w:sz w:val="21"/>
                <w:szCs w:val="21"/>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Eligible)</w:t>
            </w:r>
          </w:p>
        </w:tc>
        <w:tc>
          <w:tcPr>
            <w:tcW w:w="40" w:type="dxa"/>
            <w:vAlign w:val="bottom"/>
          </w:tcPr>
          <w:p>
            <w:pPr>
              <w:spacing w:after="0"/>
              <w:rPr>
                <w:sz w:val="21"/>
                <w:szCs w:val="21"/>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Restrictions</w:t>
            </w:r>
          </w:p>
        </w:tc>
        <w:tc>
          <w:tcPr>
            <w:tcW w:w="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Notice Period</w:t>
            </w:r>
          </w:p>
        </w:tc>
        <w:tc>
          <w:tcPr>
            <w:tcW w:w="0" w:type="dxa"/>
            <w:vAlign w:val="bottom"/>
          </w:tcPr>
          <w:p>
            <w:pPr>
              <w:spacing w:after="0"/>
              <w:rPr>
                <w:sz w:val="1"/>
                <w:szCs w:val="1"/>
                <w:color w:val="auto"/>
              </w:rPr>
            </w:pPr>
          </w:p>
        </w:tc>
      </w:tr>
      <w:tr>
        <w:trPr>
          <w:trHeight w:val="223"/>
        </w:trPr>
        <w:tc>
          <w:tcPr>
            <w:tcW w:w="23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(expressed in thousands)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date funds</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1,503,727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None</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4"/>
        </w:trPr>
        <w:tc>
          <w:tcPr>
            <w:tcW w:w="2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Index funds</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1,230,279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4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None</w:t>
            </w:r>
          </w:p>
        </w:tc>
        <w:tc>
          <w:tcPr>
            <w:tcW w:w="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794" w:hanging="794"/>
        <w:spacing w:after="0"/>
        <w:tabs>
          <w:tab w:leader="none" w:pos="79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AECOM DC RETIREMENT PLANS SMA MASTER TRUST</w:t>
      </w:r>
    </w:p>
    <w:p>
      <w:pPr>
        <w:spacing w:after="0" w:line="108" w:lineRule="exact"/>
        <w:rPr>
          <w:sz w:val="20"/>
          <w:szCs w:val="20"/>
          <w:color w:val="auto"/>
        </w:rPr>
      </w:pPr>
    </w:p>
    <w:p>
      <w:pPr>
        <w:ind w:left="634"/>
        <w:spacing w:after="0" w:line="258" w:lineRule="auto"/>
        <w:rPr>
          <w:sz w:val="20"/>
          <w:szCs w:val="20"/>
          <w:color w:val="auto"/>
        </w:rPr>
      </w:pPr>
      <w:r>
        <w:rPr>
          <w:rFonts w:ascii="Times New Roman" w:cs="Times New Roman" w:eastAsia="Times New Roman" w:hAnsi="Times New Roman"/>
          <w:sz w:val="18"/>
          <w:szCs w:val="18"/>
          <w:color w:val="auto"/>
        </w:rPr>
        <w:t>Certain investment assets of the Plan are held in separately managed accounts (“SMA”) in a custody account at Northern Trust Corporation and consist of a 100% interest in the investment account of the AECOM DC Retirement Plans SMA Master Trust (“SMA Master Trust”), a master trust established by AECOM and is administered by the Trustee. The Trustee maintains supporting records for the purpose of allocating the net gain or loss of the investment funds to the current sole participating plan. Investment gains or losses are recognized as earned based on the terms of the investments and the period during which the investments were held by the SMA Master Trust.</w:t>
      </w:r>
    </w:p>
    <w:p>
      <w:pPr>
        <w:spacing w:after="0" w:line="264" w:lineRule="exact"/>
        <w:rPr>
          <w:sz w:val="20"/>
          <w:szCs w:val="20"/>
          <w:color w:val="auto"/>
        </w:rPr>
      </w:pPr>
    </w:p>
    <w:p>
      <w:pPr>
        <w:ind w:left="634"/>
        <w:spacing w:after="0"/>
        <w:rPr>
          <w:sz w:val="20"/>
          <w:szCs w:val="20"/>
          <w:color w:val="auto"/>
        </w:rPr>
      </w:pPr>
      <w:r>
        <w:rPr>
          <w:rFonts w:ascii="Times New Roman" w:cs="Times New Roman" w:eastAsia="Times New Roman" w:hAnsi="Times New Roman"/>
          <w:sz w:val="18"/>
          <w:szCs w:val="18"/>
          <w:color w:val="auto"/>
        </w:rPr>
        <w:t>The following table presents the net assets of the SMA Master Trust as of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53"/>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34"/>
          </w:cols>
          <w:pgMar w:left="346" w:top="1170" w:right="519" w:bottom="1440" w:gutter="0" w:footer="0" w:header="0"/>
        </w:sectPr>
      </w:pPr>
    </w:p>
    <w:bookmarkStart w:id="14" w:name="page15"/>
    <w:bookmarkEnd w:id="14"/>
    <w:tbl>
      <w:tblPr>
        <w:tblLayout w:type="fixed"/>
        <w:tblInd w:w="48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SMA Master Trust</w:t>
            </w:r>
          </w:p>
        </w:tc>
        <w:tc>
          <w:tcPr>
            <w:tcW w:w="1120" w:type="dxa"/>
            <w:vAlign w:val="bottom"/>
            <w:tcBorders>
              <w:bottom w:val="single" w:sz="8" w:color="auto"/>
            </w:tcBorders>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5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4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(expressed in thousands)</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269,919</w:t>
            </w:r>
          </w:p>
        </w:tc>
      </w:tr>
      <w:tr>
        <w:trPr>
          <w:trHeight w:val="230"/>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 bonds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68,339</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48,545</w:t>
            </w:r>
          </w:p>
        </w:tc>
      </w:tr>
      <w:tr>
        <w:trPr>
          <w:trHeight w:val="229"/>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86,656</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74,084</w:t>
            </w:r>
          </w:p>
        </w:tc>
      </w:tr>
      <w:tr>
        <w:trPr>
          <w:trHeight w:val="230"/>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58,570</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53,807</w:t>
            </w:r>
          </w:p>
        </w:tc>
      </w:tr>
      <w:tr>
        <w:trPr>
          <w:trHeight w:val="229"/>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r>
      <w:tr>
        <w:trPr>
          <w:trHeight w:val="229"/>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Collective investment trusts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401,232</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257,107</w:t>
            </w:r>
          </w:p>
        </w:tc>
      </w:tr>
      <w:tr>
        <w:trPr>
          <w:trHeight w:val="230"/>
        </w:trPr>
        <w:tc>
          <w:tcPr>
            <w:tcW w:w="5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8,610</w:t>
            </w:r>
          </w:p>
        </w:tc>
      </w:tr>
      <w:tr>
        <w:trPr>
          <w:trHeight w:val="223"/>
        </w:trPr>
        <w:tc>
          <w:tcPr>
            <w:tcW w:w="50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626,352</w:t>
            </w:r>
          </w:p>
        </w:tc>
        <w:tc>
          <w:tcPr>
            <w:tcW w:w="1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718,216</w:t>
            </w:r>
          </w:p>
        </w:tc>
      </w:tr>
      <w:tr>
        <w:trPr>
          <w:trHeight w:val="21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Receivable for securities sold</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9"/>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income</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r>
      <w:tr>
        <w:trPr>
          <w:trHeight w:val="230"/>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23"/>
        </w:trPr>
        <w:tc>
          <w:tcPr>
            <w:tcW w:w="50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w:t>
            </w:r>
          </w:p>
        </w:tc>
      </w:tr>
      <w:tr>
        <w:trPr>
          <w:trHeight w:val="21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Due to broker for securities purchased</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r>
      <w:tr>
        <w:trPr>
          <w:trHeight w:val="230"/>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payables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23"/>
        </w:trPr>
        <w:tc>
          <w:tcPr>
            <w:tcW w:w="50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w:t>
            </w:r>
          </w:p>
        </w:tc>
      </w:tr>
      <w:tr>
        <w:trPr>
          <w:trHeight w:val="196"/>
        </w:trPr>
        <w:tc>
          <w:tcPr>
            <w:tcW w:w="5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of SMA Master Trust</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625,057</w:t>
            </w:r>
          </w:p>
        </w:tc>
        <w:tc>
          <w:tcPr>
            <w:tcW w:w="14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717,651</w:t>
            </w:r>
          </w:p>
        </w:tc>
      </w:tr>
      <w:tr>
        <w:trPr>
          <w:trHeight w:val="20"/>
        </w:trPr>
        <w:tc>
          <w:tcPr>
            <w:tcW w:w="5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changes in net assets for the SMA Master Trust for the year ended December 31:</w:t>
      </w:r>
    </w:p>
    <w:p>
      <w:pPr>
        <w:spacing w:after="0" w:line="113"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(expressed in thousands)</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assets:</w:t>
            </w:r>
          </w:p>
        </w:tc>
        <w:tc>
          <w:tcPr>
            <w:tcW w:w="18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r>
      <w:tr>
        <w:trPr>
          <w:trHeight w:val="230"/>
        </w:trPr>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appreciation in fair value of investments and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150,726</w:t>
            </w:r>
          </w:p>
        </w:tc>
      </w:tr>
      <w:tr>
        <w:trPr>
          <w:trHeight w:val="270"/>
        </w:trPr>
        <w:tc>
          <w:tcPr>
            <w:tcW w:w="64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r>
      <w:tr>
        <w:trPr>
          <w:trHeight w:val="230"/>
        </w:trPr>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purchases (redemptions)</w:t>
            </w:r>
          </w:p>
        </w:tc>
        <w:tc>
          <w:tcPr>
            <w:tcW w:w="1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(243,199)</w:t>
            </w:r>
          </w:p>
        </w:tc>
      </w:tr>
      <w:tr>
        <w:trPr>
          <w:trHeight w:val="230"/>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Administrative expenses</w:t>
            </w:r>
          </w:p>
        </w:tc>
        <w:tc>
          <w:tcPr>
            <w:tcW w:w="1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50"/>
        </w:trPr>
        <w:tc>
          <w:tcPr>
            <w:tcW w:w="6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net assets</w:t>
            </w:r>
          </w:p>
        </w:tc>
        <w:tc>
          <w:tcPr>
            <w:tcW w:w="18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(92,594)</w:t>
            </w:r>
          </w:p>
        </w:tc>
      </w:tr>
      <w:tr>
        <w:trPr>
          <w:trHeight w:val="270"/>
        </w:trPr>
        <w:tc>
          <w:tcPr>
            <w:tcW w:w="6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40" w:type="dxa"/>
            <w:vAlign w:val="bottom"/>
          </w:tcPr>
          <w:p>
            <w:pPr>
              <w:spacing w:after="0"/>
              <w:rPr>
                <w:sz w:val="23"/>
                <w:szCs w:val="23"/>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w:t>
            </w:r>
          </w:p>
        </w:tc>
        <w:tc>
          <w:tcPr>
            <w:tcW w:w="18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r>
      <w:tr>
        <w:trPr>
          <w:trHeight w:val="230"/>
        </w:trPr>
        <w:tc>
          <w:tcPr>
            <w:tcW w:w="6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Beginning of year</w:t>
            </w:r>
          </w:p>
        </w:tc>
        <w:tc>
          <w:tcPr>
            <w:tcW w:w="1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717,651</w:t>
            </w:r>
          </w:p>
        </w:tc>
      </w:tr>
      <w:tr>
        <w:trPr>
          <w:trHeight w:val="248"/>
        </w:trPr>
        <w:tc>
          <w:tcPr>
            <w:tcW w:w="6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625,057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SMA Master Trust assets at fair value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980" w:top="1130" w:right="679" w:bottom="1440" w:gutter="0" w:footer="0" w:header="0"/>
        </w:sectPr>
      </w:pPr>
    </w:p>
    <w:bookmarkStart w:id="15" w:name="page16"/>
    <w:bookmarkEnd w:id="15"/>
    <w:p>
      <w:pPr>
        <w:ind w:left="6620"/>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31" w:lineRule="exact"/>
        <w:rPr>
          <w:sz w:val="20"/>
          <w:szCs w:val="20"/>
          <w:color w:val="auto"/>
        </w:rPr>
      </w:pPr>
    </w:p>
    <w:tbl>
      <w:tblPr>
        <w:tblLayout w:type="fixed"/>
        <w:tblInd w:w="5360" w:type="dxa"/>
        <w:tblCellMar>
          <w:top w:w="0" w:type="dxa"/>
          <w:left w:w="0" w:type="dxa"/>
          <w:bottom w:w="0" w:type="dxa"/>
          <w:right w:w="0" w:type="dxa"/>
        </w:tblCellMar>
      </w:tblPr>
      <w:tr>
        <w:trPr>
          <w:trHeight w:val="155"/>
        </w:trPr>
        <w:tc>
          <w:tcPr>
            <w:tcW w:w="13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Quoted Prices in</w:t>
            </w:r>
          </w:p>
        </w:tc>
        <w:tc>
          <w:tcPr>
            <w:tcW w:w="17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176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176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13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Total Fair Value</w:t>
            </w:r>
          </w:p>
        </w:tc>
        <w:tc>
          <w:tcPr>
            <w:tcW w:w="0" w:type="dxa"/>
            <w:vAlign w:val="bottom"/>
          </w:tcPr>
          <w:p>
            <w:pPr>
              <w:spacing w:after="0"/>
              <w:rPr>
                <w:sz w:val="1"/>
                <w:szCs w:val="1"/>
                <w:color w:val="auto"/>
              </w:rPr>
            </w:pPr>
          </w:p>
        </w:tc>
      </w:tr>
      <w:tr>
        <w:trPr>
          <w:trHeight w:val="214"/>
        </w:trPr>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thousands)</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120"/>
          </w:cols>
          <w:pgMar w:left="980" w:top="1130" w:right="79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Fixed income instruments:</w:t>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Asset-backed securities</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Mortgage-backed securities</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Corporate bonds</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Government bonds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8" w:lineRule="exact"/>
        <w:rPr>
          <w:sz w:val="20"/>
          <w:szCs w:val="20"/>
          <w:color w:val="auto"/>
        </w:rPr>
      </w:pPr>
    </w:p>
    <w:p>
      <w:pPr>
        <w:jc w:val="right"/>
        <w:ind w:right="2120"/>
        <w:spacing w:after="0"/>
        <w:rPr>
          <w:sz w:val="20"/>
          <w:szCs w:val="20"/>
          <w:color w:val="auto"/>
        </w:rPr>
      </w:pPr>
      <w:r>
        <w:rPr>
          <w:rFonts w:ascii="Times New Roman" w:cs="Times New Roman" w:eastAsia="Times New Roman" w:hAnsi="Times New Roman"/>
          <w:sz w:val="18"/>
          <w:szCs w:val="18"/>
          <w:color w:val="auto"/>
        </w:rPr>
        <w:t>Total investments at fair value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Investments measured at NAV</w:t>
      </w:r>
    </w:p>
    <w:p>
      <w:pPr>
        <w:spacing w:after="0" w:line="63" w:lineRule="exact"/>
        <w:rPr>
          <w:sz w:val="20"/>
          <w:szCs w:val="20"/>
          <w:color w:val="auto"/>
        </w:rPr>
      </w:pPr>
    </w:p>
    <w:p>
      <w:pPr>
        <w:jc w:val="right"/>
        <w:ind w:right="2120"/>
        <w:spacing w:after="0"/>
        <w:rPr>
          <w:sz w:val="20"/>
          <w:szCs w:val="20"/>
          <w:color w:val="auto"/>
        </w:rPr>
      </w:pPr>
      <w:r>
        <w:rPr>
          <w:rFonts w:ascii="Times New Roman" w:cs="Times New Roman" w:eastAsia="Times New Roman" w:hAnsi="Times New Roman"/>
          <w:sz w:val="18"/>
          <w:szCs w:val="18"/>
          <w:color w:val="auto"/>
        </w:rPr>
        <w:t>Total investments at fair value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220,298</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225,120</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401,232</w:t>
            </w: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626,352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center"/>
              <w:ind w:left="1052"/>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14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rPr>
              <w:t>Quoted Prices in</w:t>
            </w:r>
          </w:p>
        </w:tc>
        <w:tc>
          <w:tcPr>
            <w:tcW w:w="220" w:type="dxa"/>
            <w:vAlign w:val="bottom"/>
          </w:tcPr>
          <w:p>
            <w:pPr>
              <w:spacing w:after="0"/>
              <w:rPr>
                <w:sz w:val="13"/>
                <w:szCs w:val="13"/>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00" w:type="dxa"/>
            <w:vAlign w:val="bottom"/>
            <w:gridSpan w:val="3"/>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1540" w:type="dxa"/>
            <w:vAlign w:val="bottom"/>
            <w:gridSpan w:val="3"/>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Fair Value</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2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-2680335</wp:posOffset>
            </wp:positionV>
            <wp:extent cx="621474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14745" cy="145415"/>
                    </a:xfrm>
                    <a:prstGeom prst="rect">
                      <a:avLst/>
                    </a:prstGeom>
                    <a:noFill/>
                  </pic:spPr>
                </pic:pic>
              </a:graphicData>
            </a:graphic>
          </wp:anchor>
        </w:drawing>
        <w:drawing>
          <wp:anchor simplePos="0" relativeHeight="251657728" behindDoc="1" locked="0" layoutInCell="0" allowOverlap="1">
            <wp:simplePos x="0" y="0"/>
            <wp:positionH relativeFrom="column">
              <wp:posOffset>-3405505</wp:posOffset>
            </wp:positionH>
            <wp:positionV relativeFrom="paragraph">
              <wp:posOffset>-2388870</wp:posOffset>
            </wp:positionV>
            <wp:extent cx="621474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14745" cy="146050"/>
                    </a:xfrm>
                    <a:prstGeom prst="rect">
                      <a:avLst/>
                    </a:prstGeom>
                    <a:noFill/>
                  </pic:spPr>
                </pic:pic>
              </a:graphicData>
            </a:graphic>
          </wp:anchor>
        </w:drawing>
        <w:drawing>
          <wp:anchor simplePos="0" relativeHeight="251657728" behindDoc="1" locked="0" layoutInCell="0" allowOverlap="1">
            <wp:simplePos x="0" y="0"/>
            <wp:positionH relativeFrom="column">
              <wp:posOffset>-3405505</wp:posOffset>
            </wp:positionH>
            <wp:positionV relativeFrom="paragraph">
              <wp:posOffset>-2097405</wp:posOffset>
            </wp:positionV>
            <wp:extent cx="6214745"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14745" cy="145415"/>
                    </a:xfrm>
                    <a:prstGeom prst="rect">
                      <a:avLst/>
                    </a:prstGeom>
                    <a:noFill/>
                  </pic:spPr>
                </pic:pic>
              </a:graphicData>
            </a:graphic>
          </wp:anchor>
        </w:drawing>
        <w:drawing>
          <wp:anchor simplePos="0" relativeHeight="251657728" behindDoc="1" locked="0" layoutInCell="0" allowOverlap="1">
            <wp:simplePos x="0" y="0"/>
            <wp:positionH relativeFrom="column">
              <wp:posOffset>-3405505</wp:posOffset>
            </wp:positionH>
            <wp:positionV relativeFrom="paragraph">
              <wp:posOffset>-1805940</wp:posOffset>
            </wp:positionV>
            <wp:extent cx="6214745"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14745" cy="145415"/>
                    </a:xfrm>
                    <a:prstGeom prst="rect">
                      <a:avLst/>
                    </a:prstGeom>
                    <a:noFill/>
                  </pic:spPr>
                </pic:pic>
              </a:graphicData>
            </a:graphic>
          </wp:anchor>
        </w:drawing>
        <w:drawing>
          <wp:anchor simplePos="0" relativeHeight="251657728" behindDoc="1" locked="0" layoutInCell="0" allowOverlap="1">
            <wp:simplePos x="0" y="0"/>
            <wp:positionH relativeFrom="column">
              <wp:posOffset>-3405505</wp:posOffset>
            </wp:positionH>
            <wp:positionV relativeFrom="paragraph">
              <wp:posOffset>-1488440</wp:posOffset>
            </wp:positionV>
            <wp:extent cx="621474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14745" cy="171450"/>
                    </a:xfrm>
                    <a:prstGeom prst="rect">
                      <a:avLst/>
                    </a:prstGeom>
                    <a:noFill/>
                  </pic:spPr>
                </pic:pic>
              </a:graphicData>
            </a:graphic>
          </wp:anchor>
        </w:drawing>
        <w:drawing>
          <wp:anchor simplePos="0" relativeHeight="251657728" behindDoc="1" locked="0" layoutInCell="0" allowOverlap="1">
            <wp:simplePos x="0" y="0"/>
            <wp:positionH relativeFrom="column">
              <wp:posOffset>-3405505</wp:posOffset>
            </wp:positionH>
            <wp:positionV relativeFrom="paragraph">
              <wp:posOffset>-1171575</wp:posOffset>
            </wp:positionV>
            <wp:extent cx="621474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14745" cy="1714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2540</wp:posOffset>
            </wp:positionV>
            <wp:extent cx="27946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1340"/>
        <w:spacing w:after="0"/>
        <w:rPr>
          <w:sz w:val="20"/>
          <w:szCs w:val="20"/>
          <w:color w:val="auto"/>
        </w:rPr>
      </w:pPr>
      <w:r>
        <w:rPr>
          <w:rFonts w:ascii="Times New Roman" w:cs="Times New Roman" w:eastAsia="Times New Roman" w:hAnsi="Times New Roman"/>
          <w:sz w:val="16"/>
          <w:szCs w:val="16"/>
          <w:b w:val="1"/>
          <w:bCs w:val="1"/>
          <w:color w:val="auto"/>
        </w:rPr>
        <w:t>(expressed in thousands)</w:t>
      </w:r>
    </w:p>
    <w:p>
      <w:pPr>
        <w:spacing w:after="0" w:line="48" w:lineRule="exact"/>
        <w:rPr>
          <w:sz w:val="20"/>
          <w:szCs w:val="20"/>
          <w:color w:val="auto"/>
        </w:rPr>
      </w:pPr>
    </w:p>
    <w:p>
      <w:pPr>
        <w:sectPr>
          <w:pgSz w:w="11900" w:h="16838" w:orient="portrait"/>
          <w:cols w:equalWidth="0" w:num="2">
            <w:col w:w="4640" w:space="720"/>
            <w:col w:w="4760"/>
          </w:cols>
          <w:pgMar w:left="980" w:top="1130" w:right="79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instruments:</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r>
      <w:tr>
        <w:trPr>
          <w:trHeight w:val="230"/>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53,807</w:t>
            </w:r>
          </w:p>
        </w:tc>
      </w:tr>
      <w:tr>
        <w:trPr>
          <w:trHeight w:val="229"/>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4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74,084</w:t>
            </w:r>
          </w:p>
        </w:tc>
      </w:tr>
      <w:tr>
        <w:trPr>
          <w:trHeight w:val="230"/>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 bonds</w:t>
            </w: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48,545</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Stocks</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269,919</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w:t>
            </w:r>
          </w:p>
        </w:tc>
      </w:tr>
      <w:tr>
        <w:trPr>
          <w:trHeight w:val="223"/>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278,529</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182,580</w:t>
            </w:r>
          </w:p>
        </w:tc>
        <w:tc>
          <w:tcPr>
            <w:tcW w:w="1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461,109</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237"/>
        </w:trPr>
        <w:tc>
          <w:tcPr>
            <w:tcW w:w="53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measured at NAV</w:t>
            </w:r>
          </w:p>
        </w:tc>
        <w:tc>
          <w:tcPr>
            <w:tcW w:w="4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257,107</w:t>
            </w:r>
          </w:p>
        </w:tc>
      </w:tr>
      <w:tr>
        <w:trPr>
          <w:trHeight w:val="248"/>
        </w:trPr>
        <w:tc>
          <w:tcPr>
            <w:tcW w:w="5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718,216</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Net Asset Value per Share — </w:t>
      </w:r>
      <w:r>
        <w:rPr>
          <w:rFonts w:ascii="Times New Roman" w:cs="Times New Roman" w:eastAsia="Times New Roman" w:hAnsi="Times New Roman"/>
          <w:sz w:val="17"/>
          <w:szCs w:val="17"/>
          <w:color w:val="auto"/>
        </w:rPr>
        <w:t>The following table summarizes investments measured at NAV per share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980" w:top="1130" w:right="799" w:bottom="1440" w:gutter="0" w:footer="0" w:header="0"/>
          <w:type w:val="continuous"/>
        </w:sectPr>
      </w:pPr>
    </w:p>
    <w:bookmarkStart w:id="16" w:name="page17"/>
    <w:bookmarkEnd w:id="16"/>
    <w:tbl>
      <w:tblPr>
        <w:tblLayout w:type="fixed"/>
        <w:tblInd w:w="634"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15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Frequency (if</w:t>
            </w:r>
          </w:p>
        </w:tc>
        <w:tc>
          <w:tcPr>
            <w:tcW w:w="1500" w:type="dxa"/>
            <w:vAlign w:val="bottom"/>
            <w:gridSpan w:val="2"/>
            <w:vMerge w:val="continue"/>
          </w:tcPr>
          <w:p>
            <w:pPr>
              <w:spacing w:after="0"/>
              <w:rPr>
                <w:sz w:val="15"/>
                <w:szCs w:val="15"/>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0" w:type="dxa"/>
            <w:vAlign w:val="bottom"/>
          </w:tcPr>
          <w:p>
            <w:pPr>
              <w:spacing w:after="0"/>
              <w:rPr>
                <w:sz w:val="1"/>
                <w:szCs w:val="1"/>
                <w:color w:val="auto"/>
              </w:rPr>
            </w:pPr>
          </w:p>
        </w:tc>
      </w:tr>
      <w:tr>
        <w:trPr>
          <w:trHeight w:val="189"/>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16"/>
                <w:szCs w:val="16"/>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50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rPr>
              <w:t>Currently</w:t>
            </w:r>
          </w:p>
        </w:tc>
        <w:tc>
          <w:tcPr>
            <w:tcW w:w="150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Redemption</w:t>
            </w: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Eligible)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Restrictions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Notice Period</w:t>
            </w:r>
          </w:p>
        </w:tc>
        <w:tc>
          <w:tcPr>
            <w:tcW w:w="0" w:type="dxa"/>
            <w:vAlign w:val="bottom"/>
          </w:tcPr>
          <w:p>
            <w:pPr>
              <w:spacing w:after="0"/>
              <w:rPr>
                <w:sz w:val="1"/>
                <w:szCs w:val="1"/>
                <w:color w:val="auto"/>
              </w:rPr>
            </w:pPr>
          </w:p>
        </w:tc>
      </w:tr>
      <w:tr>
        <w:trPr>
          <w:trHeight w:val="223"/>
        </w:trPr>
        <w:tc>
          <w:tcPr>
            <w:tcW w:w="2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(expressed in thousands)</w:t>
            </w:r>
          </w:p>
        </w:tc>
        <w:tc>
          <w:tcPr>
            <w:tcW w:w="1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Arrowstreet International</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Fund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383,294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None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176"/>
        </w:trPr>
        <w:tc>
          <w:tcPr>
            <w:tcW w:w="24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Northern Trust All Country</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World ex-U.S. Index Fund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17,938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None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540"/>
        </w:trPr>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15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Frequency (if</w:t>
            </w:r>
          </w:p>
        </w:tc>
        <w:tc>
          <w:tcPr>
            <w:tcW w:w="1500" w:type="dxa"/>
            <w:vAlign w:val="bottom"/>
            <w:gridSpan w:val="2"/>
            <w:vMerge w:val="continue"/>
          </w:tcPr>
          <w:p>
            <w:pPr>
              <w:spacing w:after="0"/>
              <w:rPr>
                <w:sz w:val="15"/>
                <w:szCs w:val="15"/>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0" w:type="dxa"/>
            <w:vAlign w:val="bottom"/>
          </w:tcPr>
          <w:p>
            <w:pPr>
              <w:spacing w:after="0"/>
              <w:rPr>
                <w:sz w:val="1"/>
                <w:szCs w:val="1"/>
                <w:color w:val="auto"/>
              </w:rPr>
            </w:pPr>
          </w:p>
        </w:tc>
      </w:tr>
      <w:tr>
        <w:trPr>
          <w:trHeight w:val="176"/>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15"/>
                <w:szCs w:val="15"/>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5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Currently</w:t>
            </w:r>
          </w:p>
        </w:tc>
        <w:tc>
          <w:tcPr>
            <w:tcW w:w="15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Redemption</w:t>
            </w: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Eligible)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Restrictions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Notice Period</w:t>
            </w:r>
          </w:p>
        </w:tc>
        <w:tc>
          <w:tcPr>
            <w:tcW w:w="0" w:type="dxa"/>
            <w:vAlign w:val="bottom"/>
          </w:tcPr>
          <w:p>
            <w:pPr>
              <w:spacing w:after="0"/>
              <w:rPr>
                <w:sz w:val="1"/>
                <w:szCs w:val="1"/>
                <w:color w:val="auto"/>
              </w:rPr>
            </w:pPr>
          </w:p>
        </w:tc>
      </w:tr>
      <w:tr>
        <w:trPr>
          <w:trHeight w:val="223"/>
        </w:trPr>
        <w:tc>
          <w:tcPr>
            <w:tcW w:w="2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(expressed in thousands)</w:t>
            </w:r>
          </w:p>
        </w:tc>
        <w:tc>
          <w:tcPr>
            <w:tcW w:w="1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Arrowstreet International</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Fund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253,548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None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176"/>
        </w:trPr>
        <w:tc>
          <w:tcPr>
            <w:tcW w:w="24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Northern Trust All Country</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World ex-U.S. Index Fund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None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694" w:hanging="694"/>
        <w:spacing w:after="0"/>
        <w:tabs>
          <w:tab w:leader="none" w:pos="69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AECOM DC RETIREMENT PLANS STABLE VALUE MASTER TRUST</w:t>
      </w:r>
    </w:p>
    <w:p>
      <w:pPr>
        <w:spacing w:after="0" w:line="108" w:lineRule="exact"/>
        <w:rPr>
          <w:sz w:val="20"/>
          <w:szCs w:val="20"/>
          <w:color w:val="auto"/>
        </w:rPr>
      </w:pPr>
    </w:p>
    <w:p>
      <w:pPr>
        <w:ind w:left="634"/>
        <w:spacing w:after="0" w:line="254" w:lineRule="auto"/>
        <w:rPr>
          <w:sz w:val="20"/>
          <w:szCs w:val="20"/>
          <w:color w:val="auto"/>
        </w:rPr>
      </w:pPr>
      <w:r>
        <w:rPr>
          <w:rFonts w:ascii="Times New Roman" w:cs="Times New Roman" w:eastAsia="Times New Roman" w:hAnsi="Times New Roman"/>
          <w:sz w:val="18"/>
          <w:szCs w:val="18"/>
          <w:color w:val="auto"/>
        </w:rPr>
        <w:t>Certain investment assets of the Plan are held in a custody account at Fidelity Management Trust Company and consist of a 100% interest in an investment account of the AECOM DC Retirement Plans Stable Value Master Trust (“Stable Value Master Trust”), a master trust established by AECOM and is administered by the Trustee. The Trustee maintains supporting records for the purpose of allocating the net gain or loss of the investment funds to the current sole participating plan. Investment gains or losses are recognized as earned based on the terms of the investments and the period during which the investments were held by the Stable Value Master Trust.</w:t>
      </w:r>
    </w:p>
    <w:p>
      <w:pPr>
        <w:spacing w:after="0" w:line="3" w:lineRule="exact"/>
        <w:rPr>
          <w:sz w:val="20"/>
          <w:szCs w:val="20"/>
          <w:color w:val="auto"/>
        </w:rPr>
      </w:pPr>
    </w:p>
    <w:p>
      <w:pPr>
        <w:ind w:left="634"/>
        <w:spacing w:after="0"/>
        <w:rPr>
          <w:sz w:val="20"/>
          <w:szCs w:val="20"/>
          <w:color w:val="auto"/>
        </w:rPr>
      </w:pPr>
      <w:r>
        <w:rPr>
          <w:rFonts w:ascii="Times New Roman" w:cs="Times New Roman" w:eastAsia="Times New Roman" w:hAnsi="Times New Roman"/>
          <w:sz w:val="18"/>
          <w:szCs w:val="18"/>
          <w:color w:val="auto"/>
        </w:rPr>
        <w:t>The following table presents the net assets of the Stable Value Master Trust as of December 31:</w:t>
      </w:r>
    </w:p>
    <w:p>
      <w:pPr>
        <w:spacing w:after="0" w:line="27"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b w:val="1"/>
          <w:bCs w:val="1"/>
          <w:color w:val="auto"/>
        </w:rPr>
        <w:t>Stable Value Master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19685</wp:posOffset>
            </wp:positionV>
            <wp:extent cx="23831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6" w:lineRule="exact"/>
        <w:rPr>
          <w:sz w:val="20"/>
          <w:szCs w:val="20"/>
          <w:color w:val="auto"/>
        </w:rPr>
      </w:pPr>
    </w:p>
    <w:p>
      <w:pPr>
        <w:ind w:left="6914"/>
        <w:spacing w:after="0"/>
        <w:tabs>
          <w:tab w:leader="none" w:pos="8834"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19685</wp:posOffset>
            </wp:positionV>
            <wp:extent cx="23831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6" w:lineRule="exact"/>
        <w:rPr>
          <w:sz w:val="20"/>
          <w:szCs w:val="20"/>
          <w:color w:val="auto"/>
        </w:rPr>
      </w:pPr>
    </w:p>
    <w:p>
      <w:pPr>
        <w:ind w:left="7134"/>
        <w:spacing w:after="0"/>
        <w:rPr>
          <w:sz w:val="20"/>
          <w:szCs w:val="20"/>
          <w:color w:val="auto"/>
        </w:rPr>
      </w:pPr>
      <w:r>
        <w:rPr>
          <w:rFonts w:ascii="Times New Roman" w:cs="Times New Roman" w:eastAsia="Times New Roman" w:hAnsi="Times New Roman"/>
          <w:sz w:val="18"/>
          <w:szCs w:val="18"/>
          <w:b w:val="1"/>
          <w:bCs w:val="1"/>
          <w:color w:val="auto"/>
        </w:rPr>
        <w:t>(expressed in thousands)</w:t>
      </w:r>
    </w:p>
    <w:p>
      <w:pPr>
        <w:spacing w:after="0" w:line="51" w:lineRule="exact"/>
        <w:rPr>
          <w:sz w:val="20"/>
          <w:szCs w:val="20"/>
          <w:color w:val="auto"/>
        </w:rPr>
      </w:pPr>
    </w:p>
    <w:tbl>
      <w:tblPr>
        <w:tblLayout w:type="fixed"/>
        <w:tblInd w:w="1114" w:type="dxa"/>
        <w:tblCellMar>
          <w:top w:w="0" w:type="dxa"/>
          <w:left w:w="0" w:type="dxa"/>
          <w:bottom w:w="0" w:type="dxa"/>
          <w:right w:w="0" w:type="dxa"/>
        </w:tblCellMar>
      </w:tblPr>
      <w:tr>
        <w:trPr>
          <w:trHeight w:val="21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measured at NAV</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5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313,784</w:t>
            </w:r>
          </w:p>
        </w:tc>
        <w:tc>
          <w:tcPr>
            <w:tcW w:w="1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323,734</w:t>
            </w:r>
          </w:p>
        </w:tc>
      </w:tr>
      <w:tr>
        <w:trPr>
          <w:trHeight w:val="250"/>
        </w:trPr>
        <w:tc>
          <w:tcPr>
            <w:tcW w:w="50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of Stable Value Master Trust</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313,784</w:t>
            </w:r>
          </w:p>
        </w:tc>
        <w:tc>
          <w:tcPr>
            <w:tcW w:w="14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323,734</w:t>
            </w:r>
          </w:p>
        </w:tc>
      </w:tr>
      <w:tr>
        <w:trPr>
          <w:trHeight w:val="20"/>
        </w:trPr>
        <w:tc>
          <w:tcPr>
            <w:tcW w:w="50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34"/>
        <w:spacing w:after="0"/>
        <w:rPr>
          <w:sz w:val="20"/>
          <w:szCs w:val="20"/>
          <w:color w:val="auto"/>
        </w:rPr>
      </w:pPr>
      <w:r>
        <w:rPr>
          <w:rFonts w:ascii="Times New Roman" w:cs="Times New Roman" w:eastAsia="Times New Roman" w:hAnsi="Times New Roman"/>
          <w:sz w:val="18"/>
          <w:szCs w:val="18"/>
          <w:color w:val="auto"/>
        </w:rPr>
        <w:t>The following table shows the changes in net assets for the Stable Value Master Trust for the year ended December 31: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33"/>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4"/>
          </w:cols>
          <w:pgMar w:left="346" w:top="1107" w:right="479" w:bottom="1440" w:gutter="0" w:footer="0" w:header="0"/>
        </w:sectPr>
      </w:pPr>
    </w:p>
    <w:bookmarkStart w:id="17" w:name="page18"/>
    <w:bookmarkEnd w:id="17"/>
    <w:tbl>
      <w:tblPr>
        <w:tblLayout w:type="fixed"/>
        <w:tblInd w:w="1114"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(expressed in thousands)</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assets:</w:t>
            </w:r>
          </w:p>
        </w:tc>
        <w:tc>
          <w:tcPr>
            <w:tcW w:w="2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r>
      <w:tr>
        <w:trPr>
          <w:trHeight w:val="229"/>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w:t>
            </w:r>
          </w:p>
        </w:tc>
      </w:tr>
      <w:tr>
        <w:trPr>
          <w:trHeight w:val="270"/>
        </w:trPr>
        <w:tc>
          <w:tcPr>
            <w:tcW w:w="6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r>
      <w:tr>
        <w:trPr>
          <w:trHeight w:val="229"/>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purchases (redemptions)</w:t>
            </w: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(19,214)</w:t>
            </w:r>
          </w:p>
        </w:tc>
      </w:tr>
      <w:tr>
        <w:trPr>
          <w:trHeight w:val="230"/>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0"/>
        </w:trPr>
        <w:tc>
          <w:tcPr>
            <w:tcW w:w="6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tcPr>
          <w:p>
            <w:pPr>
              <w:spacing w:after="0"/>
              <w:rPr>
                <w:sz w:val="21"/>
                <w:szCs w:val="2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net assets</w:t>
            </w:r>
          </w:p>
        </w:tc>
        <w:tc>
          <w:tcPr>
            <w:tcW w:w="2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w:t>
            </w:r>
          </w:p>
        </w:tc>
      </w:tr>
      <w:tr>
        <w:trPr>
          <w:trHeight w:val="270"/>
        </w:trPr>
        <w:tc>
          <w:tcPr>
            <w:tcW w:w="6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w:t>
            </w:r>
          </w:p>
        </w:tc>
        <w:tc>
          <w:tcPr>
            <w:tcW w:w="2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r>
      <w:tr>
        <w:trPr>
          <w:trHeight w:val="230"/>
        </w:trPr>
        <w:tc>
          <w:tcPr>
            <w:tcW w:w="6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Beginning of year</w:t>
            </w: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323,734</w:t>
            </w:r>
          </w:p>
        </w:tc>
      </w:tr>
      <w:tr>
        <w:trPr>
          <w:trHeight w:val="248"/>
        </w:trPr>
        <w:tc>
          <w:tcPr>
            <w:tcW w:w="6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End of year</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313,784</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634"/>
        <w:spacing w:after="0"/>
        <w:rPr>
          <w:sz w:val="20"/>
          <w:szCs w:val="20"/>
          <w:color w:val="auto"/>
        </w:rPr>
      </w:pPr>
      <w:r>
        <w:rPr>
          <w:rFonts w:ascii="Times New Roman" w:cs="Times New Roman" w:eastAsia="Times New Roman" w:hAnsi="Times New Roman"/>
          <w:sz w:val="18"/>
          <w:szCs w:val="18"/>
          <w:b w:val="1"/>
          <w:bCs w:val="1"/>
          <w:color w:val="auto"/>
        </w:rPr>
        <w:t xml:space="preserve">Net Asset Value per Share — </w:t>
      </w:r>
      <w:r>
        <w:rPr>
          <w:rFonts w:ascii="Times New Roman" w:cs="Times New Roman" w:eastAsia="Times New Roman" w:hAnsi="Times New Roman"/>
          <w:sz w:val="18"/>
          <w:szCs w:val="18"/>
          <w:color w:val="auto"/>
        </w:rPr>
        <w:t>The following table summarizes investments measured at NAV per share as of December 31, 2025 and 2024:</w:t>
      </w:r>
    </w:p>
    <w:p>
      <w:pPr>
        <w:spacing w:after="0" w:line="99" w:lineRule="exact"/>
        <w:rPr>
          <w:sz w:val="20"/>
          <w:szCs w:val="20"/>
          <w:color w:val="auto"/>
        </w:rPr>
      </w:pPr>
    </w:p>
    <w:tbl>
      <w:tblPr>
        <w:tblLayout w:type="fixed"/>
        <w:tblInd w:w="634"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14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1480" w:type="dxa"/>
            <w:vAlign w:val="bottom"/>
            <w:gridSpan w:val="4"/>
          </w:tcPr>
          <w:p>
            <w:pPr>
              <w:jc w:val="center"/>
              <w:ind w:right="1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Frequency (if</w:t>
            </w:r>
          </w:p>
        </w:tc>
        <w:tc>
          <w:tcPr>
            <w:tcW w:w="1480" w:type="dxa"/>
            <w:vAlign w:val="bottom"/>
            <w:gridSpan w:val="3"/>
            <w:vMerge w:val="continue"/>
          </w:tcPr>
          <w:p>
            <w:pPr>
              <w:spacing w:after="0"/>
              <w:rPr>
                <w:sz w:val="16"/>
                <w:szCs w:val="16"/>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0" w:type="dxa"/>
            <w:vAlign w:val="bottom"/>
          </w:tcPr>
          <w:p>
            <w:pPr>
              <w:spacing w:after="0"/>
              <w:rPr>
                <w:sz w:val="1"/>
                <w:szCs w:val="1"/>
                <w:color w:val="auto"/>
              </w:rPr>
            </w:pPr>
          </w:p>
        </w:tc>
      </w:tr>
      <w:tr>
        <w:trPr>
          <w:trHeight w:val="175"/>
        </w:trPr>
        <w:tc>
          <w:tcPr>
            <w:tcW w:w="2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15"/>
                <w:szCs w:val="15"/>
                <w:color w:val="auto"/>
              </w:rPr>
            </w:pPr>
          </w:p>
        </w:tc>
        <w:tc>
          <w:tcPr>
            <w:tcW w:w="1400" w:type="dxa"/>
            <w:vAlign w:val="bottom"/>
            <w:gridSpan w:val="4"/>
            <w:vMerge w:val="continue"/>
          </w:tcPr>
          <w:p>
            <w:pPr>
              <w:spacing w:after="0"/>
              <w:rPr>
                <w:sz w:val="15"/>
                <w:szCs w:val="15"/>
                <w:color w:val="auto"/>
              </w:rPr>
            </w:pPr>
          </w:p>
        </w:tc>
        <w:tc>
          <w:tcPr>
            <w:tcW w:w="1480" w:type="dxa"/>
            <w:vAlign w:val="bottom"/>
            <w:gridSpan w:val="4"/>
          </w:tcPr>
          <w:p>
            <w:pPr>
              <w:jc w:val="center"/>
              <w:ind w:right="1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Currently</w:t>
            </w:r>
          </w:p>
        </w:tc>
        <w:tc>
          <w:tcPr>
            <w:tcW w:w="1480" w:type="dxa"/>
            <w:vAlign w:val="bottom"/>
            <w:gridSpan w:val="3"/>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Redemption</w:t>
            </w: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4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Eligible)</w:t>
            </w: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Restrictions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Notice Period</w:t>
            </w:r>
          </w:p>
        </w:tc>
        <w:tc>
          <w:tcPr>
            <w:tcW w:w="0" w:type="dxa"/>
            <w:vAlign w:val="bottom"/>
          </w:tcPr>
          <w:p>
            <w:pPr>
              <w:spacing w:after="0"/>
              <w:rPr>
                <w:sz w:val="1"/>
                <w:szCs w:val="1"/>
                <w:color w:val="auto"/>
              </w:rPr>
            </w:pPr>
          </w:p>
        </w:tc>
      </w:tr>
      <w:tr>
        <w:trPr>
          <w:trHeight w:val="223"/>
        </w:trPr>
        <w:tc>
          <w:tcPr>
            <w:tcW w:w="23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(expressed in thousands)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Stable value fund</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313,784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4"/>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4"/>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Daily</w:t>
            </w:r>
          </w:p>
        </w:tc>
        <w:tc>
          <w:tcPr>
            <w:tcW w:w="14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None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540"/>
        </w:trPr>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14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1480" w:type="dxa"/>
            <w:vAlign w:val="bottom"/>
            <w:gridSpan w:val="4"/>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Frequency (if</w:t>
            </w:r>
          </w:p>
        </w:tc>
        <w:tc>
          <w:tcPr>
            <w:tcW w:w="1480" w:type="dxa"/>
            <w:vAlign w:val="bottom"/>
            <w:gridSpan w:val="3"/>
            <w:vMerge w:val="continue"/>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0" w:type="dxa"/>
            <w:vAlign w:val="bottom"/>
          </w:tcPr>
          <w:p>
            <w:pPr>
              <w:spacing w:after="0"/>
              <w:rPr>
                <w:sz w:val="1"/>
                <w:szCs w:val="1"/>
                <w:color w:val="auto"/>
              </w:rPr>
            </w:pPr>
          </w:p>
        </w:tc>
      </w:tr>
      <w:tr>
        <w:trPr>
          <w:trHeight w:val="189"/>
        </w:trPr>
        <w:tc>
          <w:tcPr>
            <w:tcW w:w="2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1480" w:type="dxa"/>
            <w:vAlign w:val="bottom"/>
            <w:gridSpan w:val="4"/>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rPr>
              <w:t>Currently</w:t>
            </w:r>
          </w:p>
        </w:tc>
        <w:tc>
          <w:tcPr>
            <w:tcW w:w="1480" w:type="dxa"/>
            <w:vAlign w:val="bottom"/>
            <w:gridSpan w:val="3"/>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Redemption</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3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4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Eligible)</w:t>
            </w:r>
          </w:p>
        </w:tc>
        <w:tc>
          <w:tcPr>
            <w:tcW w:w="14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Restrictions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Notice Period</w:t>
            </w:r>
          </w:p>
        </w:tc>
        <w:tc>
          <w:tcPr>
            <w:tcW w:w="0" w:type="dxa"/>
            <w:vAlign w:val="bottom"/>
          </w:tcPr>
          <w:p>
            <w:pPr>
              <w:spacing w:after="0"/>
              <w:rPr>
                <w:sz w:val="1"/>
                <w:szCs w:val="1"/>
                <w:color w:val="auto"/>
              </w:rPr>
            </w:pPr>
          </w:p>
        </w:tc>
      </w:tr>
      <w:tr>
        <w:trPr>
          <w:trHeight w:val="223"/>
        </w:trPr>
        <w:tc>
          <w:tcPr>
            <w:tcW w:w="23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(expressed in thousands)</w:t>
            </w:r>
          </w:p>
        </w:tc>
        <w:tc>
          <w:tcPr>
            <w:tcW w:w="120" w:type="dxa"/>
            <w:vAlign w:val="bottom"/>
            <w:gridSpan w:val="2"/>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Stable value fund</w:t>
            </w: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323,734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4"/>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Daily</w:t>
            </w:r>
          </w:p>
        </w:tc>
        <w:tc>
          <w:tcPr>
            <w:tcW w:w="148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7"/>
              </w:rPr>
              <w:t>None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794" w:hanging="794"/>
        <w:spacing w:after="0"/>
        <w:tabs>
          <w:tab w:leader="none" w:pos="79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BENEFITS PAYABLE</w:t>
      </w:r>
    </w:p>
    <w:p>
      <w:pPr>
        <w:spacing w:after="0" w:line="94" w:lineRule="exact"/>
        <w:rPr>
          <w:sz w:val="20"/>
          <w:szCs w:val="20"/>
          <w:color w:val="auto"/>
        </w:rPr>
      </w:pPr>
    </w:p>
    <w:p>
      <w:pPr>
        <w:ind w:left="634" w:right="320"/>
        <w:spacing w:after="0" w:line="282" w:lineRule="auto"/>
        <w:rPr>
          <w:sz w:val="20"/>
          <w:szCs w:val="20"/>
          <w:color w:val="auto"/>
        </w:rPr>
      </w:pPr>
      <w:r>
        <w:rPr>
          <w:rFonts w:ascii="Times New Roman" w:cs="Times New Roman" w:eastAsia="Times New Roman" w:hAnsi="Times New Roman"/>
          <w:sz w:val="18"/>
          <w:szCs w:val="18"/>
          <w:color w:val="auto"/>
        </w:rPr>
        <w:t>Net assets available for benefits at December 31, 2025 and 2024 include $4.7 million and $1.8 million, respectively, for participants who have withdrawn from the Plan and have requested distribution of benefits but have not yet been paid.</w:t>
      </w:r>
    </w:p>
    <w:p>
      <w:pPr>
        <w:spacing w:after="0" w:line="225" w:lineRule="exact"/>
        <w:rPr>
          <w:sz w:val="20"/>
          <w:szCs w:val="20"/>
          <w:color w:val="auto"/>
        </w:rPr>
      </w:pPr>
    </w:p>
    <w:p>
      <w:pPr>
        <w:ind w:left="794" w:hanging="794"/>
        <w:spacing w:after="0"/>
        <w:tabs>
          <w:tab w:leader="none" w:pos="79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08" w:lineRule="exact"/>
        <w:rPr>
          <w:sz w:val="20"/>
          <w:szCs w:val="20"/>
          <w:color w:val="auto"/>
        </w:rPr>
      </w:pPr>
    </w:p>
    <w:p>
      <w:pPr>
        <w:ind w:left="634"/>
        <w:spacing w:after="0" w:line="255" w:lineRule="auto"/>
        <w:rPr>
          <w:sz w:val="20"/>
          <w:szCs w:val="20"/>
          <w:color w:val="auto"/>
        </w:rPr>
      </w:pPr>
      <w:r>
        <w:rPr>
          <w:rFonts w:ascii="Times New Roman" w:cs="Times New Roman" w:eastAsia="Times New Roman" w:hAnsi="Times New Roman"/>
          <w:sz w:val="18"/>
          <w:szCs w:val="18"/>
          <w:color w:val="auto"/>
        </w:rPr>
        <w:t>Certain Plan investments are shares of AECOM common stock. At December 31, 2025 and 2024, the Plan held approximately 4.7 million shares and 4.9 million shares of AECOM common stock, respectively, with a fair value of approximately $446.5 million and $521.7 million at December 31, 2025 and 2024, respectively. During the year ended December 31, 2025, the Plan acquired approximately $59.8 million of AECOM common stock, of which $26.0 million was AECOM common stock issued by the Company to the Plan. Additionally, during the year ended December 31, 2025, the Plan sold approximately $91.7 million of AECOM common stock, of which $20.4 million were in-kind distributions. The Plan recorded $5.1 million in dividend income and recorded a net depreciation in fair value of approximately $48.3 million, which included gains and losses on shares bought and sold, as well as held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4"/>
          </w:cols>
          <w:pgMar w:left="346" w:top="1130" w:right="379" w:bottom="1440" w:gutter="0" w:footer="0" w:header="0"/>
        </w:sectPr>
      </w:pPr>
    </w:p>
    <w:bookmarkStart w:id="18" w:name="page19"/>
    <w:bookmarkEnd w:id="18"/>
    <w:p>
      <w:pPr>
        <w:jc w:val="both"/>
        <w:ind w:left="634" w:right="340"/>
        <w:spacing w:after="0" w:line="257" w:lineRule="auto"/>
        <w:rPr>
          <w:sz w:val="20"/>
          <w:szCs w:val="20"/>
          <w:color w:val="auto"/>
        </w:rPr>
      </w:pPr>
      <w:r>
        <w:rPr>
          <w:rFonts w:ascii="Times New Roman" w:cs="Times New Roman" w:eastAsia="Times New Roman" w:hAnsi="Times New Roman"/>
          <w:sz w:val="18"/>
          <w:szCs w:val="18"/>
          <w:color w:val="auto"/>
        </w:rPr>
        <w:t>The Plan holds self-directed brokerage accounts and investments managed by Bank of America, N.A. and its affiliates; and these transactions qualify as party-in-interest transactions. The Plan also holds investments managed by Northern Trust Corporation, Fidelity Management Trust Company, and The Vanguard Group; these transactions qualify as party-in-interest transactions.</w:t>
      </w:r>
    </w:p>
    <w:p>
      <w:pPr>
        <w:spacing w:after="0" w:line="1" w:lineRule="exact"/>
        <w:rPr>
          <w:sz w:val="20"/>
          <w:szCs w:val="20"/>
          <w:color w:val="auto"/>
        </w:rPr>
      </w:pPr>
    </w:p>
    <w:p>
      <w:pPr>
        <w:ind w:left="634" w:right="240"/>
        <w:spacing w:after="0" w:line="252" w:lineRule="auto"/>
        <w:rPr>
          <w:sz w:val="20"/>
          <w:szCs w:val="20"/>
          <w:color w:val="auto"/>
        </w:rPr>
      </w:pPr>
      <w:r>
        <w:rPr>
          <w:rFonts w:ascii="Times New Roman" w:cs="Times New Roman" w:eastAsia="Times New Roman" w:hAnsi="Times New Roman"/>
          <w:sz w:val="18"/>
          <w:szCs w:val="18"/>
          <w:color w:val="auto"/>
        </w:rPr>
        <w:t>During the 2025 and 2024 plan year, the Company inadvertently failed to deposit $17.0 million and $8.0 million, respectively, of employee deferrals and loan repayments within the required time frame specified pursuant to the Department of Labor (DOL) regulations. The Company corrected such errors by contributing earnings in connection with the delinquent participant contributions and filing a Voluntary Fiduciary Correction Program (VFCP) application with the DOL and by filing a Form 5330 with the Internal Revenue Service and paying the excise tax. The DOL issued a no-action letter in connection with such correction on February 12, 2026. These party-in-interest transactions qualify for prohibited transaction exemptions.</w:t>
      </w:r>
    </w:p>
    <w:p>
      <w:pPr>
        <w:spacing w:after="0" w:line="10" w:lineRule="exact"/>
        <w:rPr>
          <w:sz w:val="20"/>
          <w:szCs w:val="20"/>
          <w:color w:val="auto"/>
        </w:rPr>
      </w:pPr>
    </w:p>
    <w:p>
      <w:pPr>
        <w:ind w:left="794" w:hanging="794"/>
        <w:spacing w:after="0"/>
        <w:tabs>
          <w:tab w:leader="none" w:pos="79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TERMINATION</w:t>
      </w:r>
    </w:p>
    <w:p>
      <w:pPr>
        <w:spacing w:after="0" w:line="108" w:lineRule="exact"/>
        <w:rPr>
          <w:sz w:val="20"/>
          <w:szCs w:val="20"/>
          <w:color w:val="auto"/>
        </w:rPr>
      </w:pPr>
    </w:p>
    <w:p>
      <w:pPr>
        <w:ind w:left="634" w:right="560"/>
        <w:spacing w:after="0" w:line="264" w:lineRule="auto"/>
        <w:rPr>
          <w:sz w:val="20"/>
          <w:szCs w:val="20"/>
          <w:color w:val="auto"/>
        </w:rPr>
      </w:pPr>
      <w:r>
        <w:rPr>
          <w:rFonts w:ascii="Times New Roman" w:cs="Times New Roman" w:eastAsia="Times New Roman" w:hAnsi="Times New Roman"/>
          <w:sz w:val="18"/>
          <w:szCs w:val="18"/>
          <w:color w:val="auto"/>
        </w:rPr>
        <w:t>Although it has not expressed any intent to do so, AECOM has the right under the Plan to discontinue its contributions at any time and to terminate the Plan subject to the provisions of ERISA. In the event of the Plan’s termination, participants will become 100% vested in their accounts.</w:t>
      </w:r>
    </w:p>
    <w:p>
      <w:pPr>
        <w:spacing w:after="0" w:line="1" w:lineRule="exact"/>
        <w:rPr>
          <w:sz w:val="20"/>
          <w:szCs w:val="20"/>
          <w:color w:val="auto"/>
        </w:rPr>
      </w:pPr>
    </w:p>
    <w:p>
      <w:pPr>
        <w:ind w:left="794" w:hanging="794"/>
        <w:spacing w:after="0"/>
        <w:tabs>
          <w:tab w:leader="none" w:pos="79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STATUS</w:t>
      </w:r>
    </w:p>
    <w:p>
      <w:pPr>
        <w:spacing w:after="0" w:line="94" w:lineRule="exact"/>
        <w:rPr>
          <w:sz w:val="20"/>
          <w:szCs w:val="20"/>
          <w:color w:val="auto"/>
        </w:rPr>
      </w:pPr>
    </w:p>
    <w:p>
      <w:pPr>
        <w:ind w:left="634" w:right="340"/>
        <w:spacing w:after="0" w:line="266" w:lineRule="auto"/>
        <w:rPr>
          <w:sz w:val="20"/>
          <w:szCs w:val="20"/>
          <w:color w:val="auto"/>
        </w:rPr>
      </w:pPr>
      <w:r>
        <w:rPr>
          <w:rFonts w:ascii="Times New Roman" w:cs="Times New Roman" w:eastAsia="Times New Roman" w:hAnsi="Times New Roman"/>
          <w:sz w:val="18"/>
          <w:szCs w:val="18"/>
          <w:color w:val="auto"/>
        </w:rPr>
        <w:t>The Plan received its latest determination letter on February 2, 2016, in which the IRS indicated that the form of the Plan complies with the applicable requirements of the Internal Revenue Code. The Plan was amended since receiving the determination letter. The Plan administrator believes that the Plan continues to be qualified and the related trust is tax-exempt.</w:t>
      </w:r>
    </w:p>
    <w:p>
      <w:pPr>
        <w:spacing w:after="0" w:line="203" w:lineRule="exact"/>
        <w:rPr>
          <w:sz w:val="20"/>
          <w:szCs w:val="20"/>
          <w:color w:val="auto"/>
        </w:rPr>
      </w:pPr>
    </w:p>
    <w:p>
      <w:pPr>
        <w:jc w:val="both"/>
        <w:ind w:left="634"/>
        <w:spacing w:after="0" w:line="264"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the IRS. The Plan is subject to routine audits by the IRS; however, there are currently no audits in progress for open tax periods.</w:t>
      </w:r>
    </w:p>
    <w:p>
      <w:pPr>
        <w:spacing w:after="0" w:line="1" w:lineRule="exact"/>
        <w:rPr>
          <w:sz w:val="20"/>
          <w:szCs w:val="20"/>
          <w:color w:val="auto"/>
        </w:rPr>
      </w:pPr>
    </w:p>
    <w:p>
      <w:pPr>
        <w:ind w:left="794" w:hanging="794"/>
        <w:spacing w:after="0"/>
        <w:tabs>
          <w:tab w:leader="none" w:pos="79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AND UNCERTAINTIES</w:t>
      </w:r>
    </w:p>
    <w:p>
      <w:pPr>
        <w:spacing w:after="0" w:line="108" w:lineRule="exact"/>
        <w:rPr>
          <w:sz w:val="20"/>
          <w:szCs w:val="20"/>
          <w:color w:val="auto"/>
        </w:rPr>
      </w:pPr>
    </w:p>
    <w:p>
      <w:pPr>
        <w:ind w:left="634" w:right="100"/>
        <w:spacing w:after="0" w:line="256" w:lineRule="auto"/>
        <w:rPr>
          <w:sz w:val="20"/>
          <w:szCs w:val="20"/>
          <w:color w:val="auto"/>
        </w:rPr>
      </w:pPr>
      <w:r>
        <w:rPr>
          <w:rFonts w:ascii="Times New Roman" w:cs="Times New Roman" w:eastAsia="Times New Roman" w:hAnsi="Times New Roman"/>
          <w:sz w:val="18"/>
          <w:szCs w:val="18"/>
          <w:color w:val="auto"/>
        </w:rPr>
        <w:t>The Plan and the Master Trusts invest in various investment securities. Investment securities are exposed to various risks such as interest rate, market, and credit risks. Due to the level of risk associated with certain investment securities, it is at least reasonably possible that changes in the value of investment securities will occur in the near term, and that such change could materially affect participants’ account balances and the amounts reported in the financial statements. The Plan’s exposure to a concentration of risk is limited by the diversification of investments across various participant-directed investment options. Additionally, the investments within each participant-directed investment option are further diversified into varied financial instruments, with the exception of AECOM common stock, which is a single security.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4"/>
          </w:cols>
          <w:pgMar w:left="346" w:top="1336" w:right="359" w:bottom="1440" w:gutter="0" w:footer="0" w:header="0"/>
        </w:sectPr>
      </w:pPr>
    </w:p>
    <w:bookmarkStart w:id="19" w:name="page20"/>
    <w:bookmarkEnd w:id="19"/>
    <w:p>
      <w:pPr>
        <w:ind w:left="800" w:hanging="794"/>
        <w:spacing w:after="0"/>
        <w:tabs>
          <w:tab w:leader="none" w:pos="8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FINANCIAL STATEMENTS TO FORM 5500</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is a reconciliation of net assets available for benefits per the financial statements at December 31, 2025 and 2024 to Form 5500:</w:t>
      </w:r>
    </w:p>
    <w:p>
      <w:pPr>
        <w:spacing w:after="0" w:line="46"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0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(expressed in thousands)</w:t>
            </w: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7,368,267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6,778,558</w:t>
            </w:r>
          </w:p>
        </w:tc>
      </w:tr>
      <w:tr>
        <w:trPr>
          <w:trHeight w:val="270"/>
        </w:trPr>
        <w:tc>
          <w:tcPr>
            <w:tcW w:w="5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allocated to withdrawing participants</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r>
      <w:tr>
        <w:trPr>
          <w:trHeight w:val="250"/>
        </w:trPr>
        <w:tc>
          <w:tcPr>
            <w:tcW w:w="5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Form 5500</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7,363,613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6,776,756</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640"/>
        <w:spacing w:after="0" w:line="271" w:lineRule="auto"/>
        <w:rPr>
          <w:sz w:val="20"/>
          <w:szCs w:val="20"/>
          <w:color w:val="auto"/>
        </w:rPr>
      </w:pPr>
      <w:r>
        <w:rPr>
          <w:rFonts w:ascii="Times New Roman" w:cs="Times New Roman" w:eastAsia="Times New Roman" w:hAnsi="Times New Roman"/>
          <w:sz w:val="18"/>
          <w:szCs w:val="18"/>
          <w:color w:val="auto"/>
        </w:rPr>
        <w:t>The following is a reconciliation of the net decrease in net assets available for benefits per the financial statement for the year ended December 31, 2025 to Form 5500:</w:t>
      </w:r>
    </w:p>
    <w:p>
      <w:pPr>
        <w:spacing w:after="0" w:line="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(expressed in thousands)</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per financial statements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589,709</w:t>
            </w:r>
          </w:p>
        </w:tc>
      </w:tr>
      <w:tr>
        <w:trPr>
          <w:trHeight w:val="270"/>
        </w:trPr>
        <w:tc>
          <w:tcPr>
            <w:tcW w:w="6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40" w:type="dxa"/>
            <w:vAlign w:val="bottom"/>
          </w:tcPr>
          <w:p>
            <w:pPr>
              <w:spacing w:after="0"/>
              <w:rPr>
                <w:sz w:val="23"/>
                <w:szCs w:val="23"/>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amounts allocated to withdrawing participants</w:t>
            </w:r>
          </w:p>
        </w:tc>
        <w:tc>
          <w:tcPr>
            <w:tcW w:w="1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r>
      <w:tr>
        <w:trPr>
          <w:trHeight w:val="250"/>
        </w:trPr>
        <w:tc>
          <w:tcPr>
            <w:tcW w:w="6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54"/>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per Form 5500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586,857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37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AECOM RETIREMENT &amp; SAVINGS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EIN#: 61-1088522 PLAN#: 055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5500, SCHEDULE H, LINE 4a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DELINQUENT PARTICIPANT CONTRIBUTIONS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Participant Contributions</w:t>
            </w:r>
          </w:p>
        </w:tc>
        <w:tc>
          <w:tcPr>
            <w:tcW w:w="1380" w:type="dxa"/>
            <w:vAlign w:val="bottom"/>
          </w:tcPr>
          <w:p>
            <w:pPr>
              <w:spacing w:after="0"/>
              <w:rPr>
                <w:sz w:val="17"/>
                <w:szCs w:val="17"/>
                <w:color w:val="auto"/>
              </w:rPr>
            </w:pPr>
          </w:p>
        </w:tc>
        <w:tc>
          <w:tcPr>
            <w:tcW w:w="26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that Constitute Nonexempt</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Transferred Late to Plan</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Prohibited Transactions</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6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jc w:val="center"/>
              <w:ind w:right="50"/>
              <w:spacing w:after="0" w:line="160" w:lineRule="exact"/>
              <w:rPr>
                <w:sz w:val="20"/>
                <w:szCs w:val="20"/>
                <w:color w:val="auto"/>
              </w:rPr>
            </w:pPr>
            <w:r>
              <w:rPr>
                <w:rFonts w:ascii="Times New Roman" w:cs="Times New Roman" w:eastAsia="Times New Roman" w:hAnsi="Times New Roman"/>
                <w:sz w:val="18"/>
                <w:szCs w:val="18"/>
                <w:b w:val="1"/>
                <w:bCs w:val="1"/>
                <w:color w:val="auto"/>
                <w:w w:val="95"/>
              </w:rPr>
              <w:t>Total Fully</w:t>
            </w:r>
          </w:p>
        </w:tc>
        <w:tc>
          <w:tcPr>
            <w:tcW w:w="0" w:type="dxa"/>
            <w:vAlign w:val="bottom"/>
          </w:tcPr>
          <w:p>
            <w:pPr>
              <w:spacing w:after="0"/>
              <w:rPr>
                <w:sz w:val="1"/>
                <w:szCs w:val="1"/>
                <w:color w:val="auto"/>
              </w:rPr>
            </w:pPr>
          </w:p>
        </w:tc>
      </w:tr>
      <w:tr>
        <w:trPr>
          <w:trHeight w:val="180"/>
        </w:trPr>
        <w:tc>
          <w:tcPr>
            <w:tcW w:w="3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Late Participant</w:t>
            </w: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Contributions</w:t>
            </w:r>
          </w:p>
        </w:tc>
        <w:tc>
          <w:tcPr>
            <w:tcW w:w="240" w:type="dxa"/>
            <w:vAlign w:val="bottom"/>
          </w:tcPr>
          <w:p>
            <w:pPr>
              <w:spacing w:after="0"/>
              <w:rPr>
                <w:sz w:val="15"/>
                <w:szCs w:val="15"/>
                <w:color w:val="auto"/>
              </w:rPr>
            </w:pPr>
          </w:p>
        </w:tc>
        <w:tc>
          <w:tcPr>
            <w:tcW w:w="16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Contributions</w:t>
            </w:r>
          </w:p>
        </w:tc>
        <w:tc>
          <w:tcPr>
            <w:tcW w:w="140" w:type="dxa"/>
            <w:vAlign w:val="bottom"/>
          </w:tcPr>
          <w:p>
            <w:pPr>
              <w:spacing w:after="0"/>
              <w:rPr>
                <w:sz w:val="15"/>
                <w:szCs w:val="15"/>
                <w:color w:val="auto"/>
              </w:rPr>
            </w:pPr>
          </w:p>
        </w:tc>
        <w:tc>
          <w:tcPr>
            <w:tcW w:w="152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Corrected</w:t>
            </w:r>
          </w:p>
        </w:tc>
        <w:tc>
          <w:tcPr>
            <w:tcW w:w="0" w:type="dxa"/>
            <w:vAlign w:val="bottom"/>
          </w:tcPr>
          <w:p>
            <w:pPr>
              <w:spacing w:after="0"/>
              <w:rPr>
                <w:sz w:val="1"/>
                <w:szCs w:val="1"/>
                <w:color w:val="auto"/>
              </w:rPr>
            </w:pPr>
          </w:p>
        </w:tc>
      </w:tr>
      <w:tr>
        <w:trPr>
          <w:trHeight w:val="184"/>
        </w:trPr>
        <w:tc>
          <w:tcPr>
            <w:tcW w:w="3860" w:type="dxa"/>
            <w:vAlign w:val="bottom"/>
            <w:gridSpan w:val="2"/>
            <w:vMerge w:val="continue"/>
          </w:tcPr>
          <w:p>
            <w:pPr>
              <w:spacing w:after="0"/>
              <w:rPr>
                <w:sz w:val="16"/>
                <w:szCs w:val="16"/>
                <w:color w:val="auto"/>
              </w:rPr>
            </w:pPr>
          </w:p>
        </w:tc>
        <w:tc>
          <w:tcPr>
            <w:tcW w:w="13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w w:val="99"/>
              </w:rPr>
              <w:t>Contributions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Under VFCP and</w:t>
            </w:r>
          </w:p>
        </w:tc>
        <w:tc>
          <w:tcPr>
            <w:tcW w:w="0" w:type="dxa"/>
            <w:vAlign w:val="bottom"/>
          </w:tcPr>
          <w:p>
            <w:pPr>
              <w:spacing w:after="0"/>
              <w:rPr>
                <w:sz w:val="1"/>
                <w:szCs w:val="1"/>
                <w:color w:val="auto"/>
              </w:rPr>
            </w:pPr>
          </w:p>
        </w:tc>
      </w:tr>
      <w:tr>
        <w:trPr>
          <w:trHeight w:val="176"/>
        </w:trPr>
        <w:tc>
          <w:tcPr>
            <w:tcW w:w="38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Loan Repayments</w:t>
            </w:r>
          </w:p>
        </w:tc>
        <w:tc>
          <w:tcPr>
            <w:tcW w:w="13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tcPr>
          <w:p>
            <w:pPr>
              <w:jc w:val="center"/>
              <w:ind w:right="4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Corrected</w:t>
            </w:r>
          </w:p>
        </w:tc>
        <w:tc>
          <w:tcPr>
            <w:tcW w:w="240" w:type="dxa"/>
            <w:vAlign w:val="bottom"/>
          </w:tcPr>
          <w:p>
            <w:pPr>
              <w:spacing w:after="0"/>
              <w:rPr>
                <w:sz w:val="15"/>
                <w:szCs w:val="15"/>
                <w:color w:val="auto"/>
              </w:rPr>
            </w:pPr>
          </w:p>
        </w:tc>
        <w:tc>
          <w:tcPr>
            <w:tcW w:w="1680" w:type="dxa"/>
            <w:vAlign w:val="bottom"/>
            <w:gridSpan w:val="2"/>
          </w:tcPr>
          <w:p>
            <w:pPr>
              <w:jc w:val="center"/>
              <w:ind w:right="480"/>
              <w:spacing w:after="0" w:line="176" w:lineRule="exact"/>
              <w:rPr>
                <w:sz w:val="20"/>
                <w:szCs w:val="20"/>
                <w:color w:val="auto"/>
              </w:rPr>
            </w:pPr>
            <w:r>
              <w:rPr>
                <w:rFonts w:ascii="Times New Roman" w:cs="Times New Roman" w:eastAsia="Times New Roman" w:hAnsi="Times New Roman"/>
                <w:sz w:val="18"/>
                <w:szCs w:val="18"/>
                <w:b w:val="1"/>
                <w:bCs w:val="1"/>
                <w:color w:val="auto"/>
              </w:rPr>
              <w:t>Pending</w:t>
            </w:r>
          </w:p>
        </w:tc>
        <w:tc>
          <w:tcPr>
            <w:tcW w:w="140" w:type="dxa"/>
            <w:vAlign w:val="bottom"/>
          </w:tcPr>
          <w:p>
            <w:pPr>
              <w:spacing w:after="0"/>
              <w:rPr>
                <w:sz w:val="15"/>
                <w:szCs w:val="15"/>
                <w:color w:val="auto"/>
              </w:rPr>
            </w:pPr>
          </w:p>
        </w:tc>
        <w:tc>
          <w:tcPr>
            <w:tcW w:w="15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6"/>
              </w:rPr>
              <w:t>PTE</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are Included:</w:t>
            </w:r>
          </w:p>
        </w:tc>
        <w:tc>
          <w:tcPr>
            <w:tcW w:w="240" w:type="dxa"/>
            <w:vAlign w:val="bottom"/>
          </w:tcPr>
          <w:p>
            <w:pPr>
              <w:spacing w:after="0"/>
              <w:rPr>
                <w:sz w:val="21"/>
                <w:szCs w:val="21"/>
                <w:color w:val="auto"/>
              </w:rPr>
            </w:pPr>
          </w:p>
        </w:tc>
        <w:tc>
          <w:tcPr>
            <w:tcW w:w="13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Not corrected</w:t>
            </w:r>
          </w:p>
        </w:tc>
        <w:tc>
          <w:tcPr>
            <w:tcW w:w="2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Outside VFCP</w:t>
            </w:r>
          </w:p>
        </w:tc>
        <w:tc>
          <w:tcPr>
            <w:tcW w:w="240" w:type="dxa"/>
            <w:vAlign w:val="bottom"/>
          </w:tcPr>
          <w:p>
            <w:pPr>
              <w:spacing w:after="0"/>
              <w:rPr>
                <w:sz w:val="21"/>
                <w:szCs w:val="21"/>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Correction in VFCP</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2002-51</w:t>
            </w:r>
          </w:p>
        </w:tc>
        <w:tc>
          <w:tcPr>
            <w:tcW w:w="0" w:type="dxa"/>
            <w:vAlign w:val="bottom"/>
          </w:tcPr>
          <w:p>
            <w:pPr>
              <w:spacing w:after="0"/>
              <w:rPr>
                <w:sz w:val="1"/>
                <w:szCs w:val="1"/>
                <w:color w:val="auto"/>
              </w:rPr>
            </w:pPr>
          </w:p>
        </w:tc>
      </w:tr>
      <w:tr>
        <w:trPr>
          <w:trHeight w:val="264"/>
        </w:trPr>
        <w:tc>
          <w:tcPr>
            <w:tcW w:w="3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Yes</w:t>
            </w:r>
          </w:p>
        </w:tc>
        <w:tc>
          <w:tcPr>
            <w:tcW w:w="13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24,930,070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21" w:name="page22"/>
    <w:bookmarkEnd w:id="21"/>
    <w:p>
      <w:pPr>
        <w:ind w:right="1940"/>
        <w:spacing w:after="0" w:line="259" w:lineRule="auto"/>
        <w:rPr>
          <w:sz w:val="20"/>
          <w:szCs w:val="20"/>
          <w:color w:val="auto"/>
        </w:rPr>
      </w:pPr>
      <w:r>
        <w:rPr>
          <w:rFonts w:ascii="Times New Roman" w:cs="Times New Roman" w:eastAsia="Times New Roman" w:hAnsi="Times New Roman"/>
          <w:sz w:val="18"/>
          <w:szCs w:val="18"/>
          <w:b w:val="1"/>
          <w:bCs w:val="1"/>
          <w:color w:val="auto"/>
        </w:rPr>
        <w:t>AECOM RETIREMENT &amp; SAVINGS PLAN EIN#: 61-1088522 PLAN#: 055 FORM 5500, SCHEDULE H, LINE 4i</w:t>
      </w:r>
    </w:p>
    <w:p>
      <w:pPr>
        <w:spacing w:after="0"/>
        <w:rPr>
          <w:sz w:val="20"/>
          <w:szCs w:val="20"/>
          <w:color w:val="auto"/>
        </w:rPr>
      </w:pPr>
      <w:r>
        <w:rPr>
          <w:rFonts w:ascii="Times New Roman" w:cs="Times New Roman" w:eastAsia="Times New Roman" w:hAnsi="Times New Roman"/>
          <w:sz w:val="18"/>
          <w:szCs w:val="18"/>
          <w:b w:val="1"/>
          <w:bCs w:val="1"/>
          <w:color w:val="auto"/>
        </w:rPr>
        <w:t>SCHEDULE OF ASSETS (HELD AT END OF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36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w:t>
      </w:r>
    </w:p>
    <w:p>
      <w:pPr>
        <w:ind w:left="1020" w:hanging="928"/>
        <w:spacing w:after="0"/>
        <w:tabs>
          <w:tab w:leader="none" w:pos="10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Identity of Issue, Borrower, Lessor, or Similar Party</w:t>
      </w:r>
    </w:p>
    <w:p>
      <w:pPr>
        <w:spacing w:after="0" w:line="43" w:lineRule="exact"/>
        <w:rPr>
          <w:sz w:val="20"/>
          <w:szCs w:val="20"/>
          <w:color w:val="auto"/>
        </w:rPr>
      </w:pPr>
    </w:p>
    <w:p>
      <w:pPr>
        <w:ind w:left="540" w:hanging="388"/>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AECOM Common Stock</w:t>
      </w:r>
    </w:p>
    <w:p>
      <w:pPr>
        <w:spacing w:after="0" w:line="319" w:lineRule="exact"/>
        <w:rPr>
          <w:rFonts w:ascii="Times New Roman" w:cs="Times New Roman" w:eastAsia="Times New Roman" w:hAnsi="Times New Roman"/>
          <w:sz w:val="18"/>
          <w:szCs w:val="18"/>
          <w:color w:val="auto"/>
        </w:rPr>
      </w:pPr>
    </w:p>
    <w:p>
      <w:pPr>
        <w:ind w:left="760" w:right="1920" w:hanging="216"/>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Investment Companies: BlackRock Advisors BIF Money Fund Dodge &amp; Cox U.S. Equity</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Participation in common or collective trusts:</w:t>
      </w:r>
    </w:p>
    <w:p>
      <w:pPr>
        <w:spacing w:after="0" w:line="1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Fidelity Growth Company Commingled Fund</w:t>
      </w:r>
    </w:p>
    <w:p>
      <w:pPr>
        <w:spacing w:after="0" w:line="2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 Rowe Structured Research</w:t>
      </w:r>
    </w:p>
    <w:p>
      <w:pPr>
        <w:spacing w:after="0" w:line="2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EARNEST Partners SMID Cap Core Fund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Assets in Bank of America, N.A. Self-Directed Brokerage Accounts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0" w:hanging="388"/>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receivable from participants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20313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(c)</w:t>
      </w:r>
    </w:p>
    <w:p>
      <w:pPr>
        <w:jc w:val="center"/>
        <w:ind w:right="2540"/>
        <w:spacing w:after="0" w:line="219" w:lineRule="auto"/>
        <w:rPr>
          <w:sz w:val="20"/>
          <w:szCs w:val="20"/>
          <w:color w:val="auto"/>
        </w:rPr>
      </w:pPr>
      <w:r>
        <w:rPr>
          <w:rFonts w:ascii="Times New Roman" w:cs="Times New Roman" w:eastAsia="Times New Roman" w:hAnsi="Times New Roman"/>
          <w:sz w:val="18"/>
          <w:szCs w:val="18"/>
          <w:b w:val="1"/>
          <w:bCs w:val="1"/>
          <w:color w:val="auto"/>
        </w:rPr>
        <w:t>Description of Investment, Including</w:t>
      </w:r>
    </w:p>
    <w:tbl>
      <w:tblPr>
        <w:tblLayout w:type="fixed"/>
        <w:tblInd w:w="0" w:type="dxa"/>
        <w:tblCellMar>
          <w:top w:w="0" w:type="dxa"/>
          <w:left w:w="0" w:type="dxa"/>
          <w:bottom w:w="0" w:type="dxa"/>
          <w:right w:w="0" w:type="dxa"/>
        </w:tblCellMar>
      </w:tblPr>
      <w:tr>
        <w:trPr>
          <w:trHeight w:val="160"/>
        </w:trPr>
        <w:tc>
          <w:tcPr>
            <w:tcW w:w="3160" w:type="dxa"/>
            <w:vAlign w:val="bottom"/>
            <w:gridSpan w:val="2"/>
          </w:tcPr>
          <w:p>
            <w:pPr>
              <w:jc w:val="center"/>
              <w:ind w:right="120"/>
              <w:spacing w:after="0" w:line="161" w:lineRule="exact"/>
              <w:rPr>
                <w:sz w:val="20"/>
                <w:szCs w:val="20"/>
                <w:color w:val="auto"/>
              </w:rPr>
            </w:pPr>
            <w:r>
              <w:rPr>
                <w:rFonts w:ascii="Times New Roman" w:cs="Times New Roman" w:eastAsia="Times New Roman" w:hAnsi="Times New Roman"/>
                <w:sz w:val="18"/>
                <w:szCs w:val="18"/>
                <w:b w:val="1"/>
                <w:bCs w:val="1"/>
                <w:color w:val="auto"/>
              </w:rPr>
              <w:t>Maturity Date,</w:t>
            </w:r>
          </w:p>
        </w:tc>
        <w:tc>
          <w:tcPr>
            <w:tcW w:w="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320" w:type="dxa"/>
            <w:vAlign w:val="bottom"/>
          </w:tcPr>
          <w:p>
            <w:pPr>
              <w:spacing w:after="0"/>
              <w:rPr>
                <w:sz w:val="13"/>
                <w:szCs w:val="13"/>
                <w:color w:val="auto"/>
              </w:rPr>
            </w:pPr>
          </w:p>
        </w:tc>
        <w:tc>
          <w:tcPr>
            <w:tcW w:w="1400" w:type="dxa"/>
            <w:vAlign w:val="bottom"/>
          </w:tcPr>
          <w:p>
            <w:pPr>
              <w:jc w:val="center"/>
              <w:ind w:right="230"/>
              <w:spacing w:after="0" w:line="161" w:lineRule="exact"/>
              <w:rPr>
                <w:sz w:val="20"/>
                <w:szCs w:val="20"/>
                <w:color w:val="auto"/>
              </w:rPr>
            </w:pPr>
            <w:r>
              <w:rPr>
                <w:rFonts w:ascii="Times New Roman" w:cs="Times New Roman" w:eastAsia="Times New Roman" w:hAnsi="Times New Roman"/>
                <w:sz w:val="18"/>
                <w:szCs w:val="18"/>
                <w:b w:val="1"/>
                <w:bCs w:val="1"/>
                <w:color w:val="auto"/>
                <w:w w:val="99"/>
              </w:rPr>
              <w:t>(e)</w:t>
            </w:r>
          </w:p>
        </w:tc>
        <w:tc>
          <w:tcPr>
            <w:tcW w:w="0" w:type="dxa"/>
            <w:vAlign w:val="bottom"/>
          </w:tcPr>
          <w:p>
            <w:pPr>
              <w:spacing w:after="0"/>
              <w:rPr>
                <w:sz w:val="1"/>
                <w:szCs w:val="1"/>
                <w:color w:val="auto"/>
              </w:rPr>
            </w:pPr>
          </w:p>
        </w:tc>
      </w:tr>
      <w:tr>
        <w:trPr>
          <w:trHeight w:val="176"/>
        </w:trPr>
        <w:tc>
          <w:tcPr>
            <w:tcW w:w="31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Rate of Interest, Collateral, Par or</w:t>
            </w:r>
          </w:p>
        </w:tc>
        <w:tc>
          <w:tcPr>
            <w:tcW w:w="7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Current</w:t>
            </w:r>
          </w:p>
        </w:tc>
        <w:tc>
          <w:tcPr>
            <w:tcW w:w="0" w:type="dxa"/>
            <w:vAlign w:val="bottom"/>
          </w:tcPr>
          <w:p>
            <w:pPr>
              <w:spacing w:after="0"/>
              <w:rPr>
                <w:sz w:val="1"/>
                <w:szCs w:val="1"/>
                <w:color w:val="auto"/>
              </w:rPr>
            </w:pPr>
          </w:p>
        </w:tc>
      </w:tr>
      <w:tr>
        <w:trPr>
          <w:trHeight w:val="243"/>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Maturity Value</w:t>
            </w:r>
          </w:p>
        </w:tc>
        <w:tc>
          <w:tcPr>
            <w:tcW w:w="140" w:type="dxa"/>
            <w:vAlign w:val="bottom"/>
          </w:tcPr>
          <w:p>
            <w:pPr>
              <w:spacing w:after="0"/>
              <w:rPr>
                <w:sz w:val="21"/>
                <w:szCs w:val="2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64"/>
        </w:trPr>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4,686,516 shares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446,479,546</w:t>
            </w:r>
          </w:p>
        </w:tc>
        <w:tc>
          <w:tcPr>
            <w:tcW w:w="0" w:type="dxa"/>
            <w:vAlign w:val="bottom"/>
          </w:tcPr>
          <w:p>
            <w:pPr>
              <w:spacing w:after="0"/>
              <w:rPr>
                <w:sz w:val="1"/>
                <w:szCs w:val="1"/>
                <w:color w:val="auto"/>
              </w:rPr>
            </w:pPr>
          </w:p>
        </w:tc>
      </w:tr>
      <w:tr>
        <w:trPr>
          <w:trHeight w:val="745"/>
        </w:trPr>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4,733,927 shares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4,733,927</w:t>
            </w:r>
          </w:p>
        </w:tc>
        <w:tc>
          <w:tcPr>
            <w:tcW w:w="0" w:type="dxa"/>
            <w:vAlign w:val="bottom"/>
          </w:tcPr>
          <w:p>
            <w:pPr>
              <w:spacing w:after="0"/>
              <w:rPr>
                <w:sz w:val="1"/>
                <w:szCs w:val="1"/>
                <w:color w:val="auto"/>
              </w:rPr>
            </w:pPr>
          </w:p>
        </w:tc>
      </w:tr>
      <w:tr>
        <w:trPr>
          <w:trHeight w:val="234"/>
        </w:trPr>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34,260,280 shares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568,378,046</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573,111,973</w:t>
            </w:r>
          </w:p>
        </w:tc>
        <w:tc>
          <w:tcPr>
            <w:tcW w:w="0" w:type="dxa"/>
            <w:vAlign w:val="bottom"/>
          </w:tcPr>
          <w:p>
            <w:pPr>
              <w:spacing w:after="0"/>
              <w:rPr>
                <w:sz w:val="1"/>
                <w:szCs w:val="1"/>
                <w:color w:val="auto"/>
              </w:rPr>
            </w:pPr>
          </w:p>
        </w:tc>
      </w:tr>
      <w:tr>
        <w:trPr>
          <w:trHeight w:val="655"/>
        </w:trPr>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6,382,716 shares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568,253,219</w:t>
            </w:r>
          </w:p>
        </w:tc>
        <w:tc>
          <w:tcPr>
            <w:tcW w:w="0" w:type="dxa"/>
            <w:vAlign w:val="bottom"/>
          </w:tcPr>
          <w:p>
            <w:pPr>
              <w:spacing w:after="0"/>
              <w:rPr>
                <w:sz w:val="1"/>
                <w:szCs w:val="1"/>
                <w:color w:val="auto"/>
              </w:rPr>
            </w:pPr>
          </w:p>
        </w:tc>
      </w:tr>
      <w:tr>
        <w:trPr>
          <w:trHeight w:val="446"/>
        </w:trPr>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5,827,248 shares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585,114,018</w:t>
            </w:r>
          </w:p>
        </w:tc>
        <w:tc>
          <w:tcPr>
            <w:tcW w:w="0" w:type="dxa"/>
            <w:vAlign w:val="bottom"/>
          </w:tcPr>
          <w:p>
            <w:pPr>
              <w:spacing w:after="0"/>
              <w:rPr>
                <w:sz w:val="1"/>
                <w:szCs w:val="1"/>
                <w:color w:val="auto"/>
              </w:rPr>
            </w:pPr>
          </w:p>
        </w:tc>
      </w:tr>
      <w:tr>
        <w:trPr>
          <w:trHeight w:val="445"/>
        </w:trPr>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23,495,761 shares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246,860,186</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1,400,227,423</w:t>
            </w:r>
          </w:p>
        </w:tc>
        <w:tc>
          <w:tcPr>
            <w:tcW w:w="0" w:type="dxa"/>
            <w:vAlign w:val="bottom"/>
          </w:tcPr>
          <w:p>
            <w:pPr>
              <w:spacing w:after="0"/>
              <w:rPr>
                <w:sz w:val="1"/>
                <w:szCs w:val="1"/>
                <w:color w:val="auto"/>
              </w:rPr>
            </w:pPr>
          </w:p>
        </w:tc>
      </w:tr>
      <w:tr>
        <w:trPr>
          <w:trHeight w:val="425"/>
        </w:trPr>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Various investments, including registered</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160" w:type="dxa"/>
            <w:vAlign w:val="bottom"/>
            <w:gridSpan w:val="2"/>
          </w:tcPr>
          <w:p>
            <w:pPr>
              <w:jc w:val="center"/>
              <w:ind w:right="140"/>
              <w:spacing w:after="0" w:line="184" w:lineRule="exact"/>
              <w:rPr>
                <w:sz w:val="20"/>
                <w:szCs w:val="20"/>
                <w:color w:val="auto"/>
              </w:rPr>
            </w:pPr>
            <w:r>
              <w:rPr>
                <w:rFonts w:ascii="Times New Roman" w:cs="Times New Roman" w:eastAsia="Times New Roman" w:hAnsi="Times New Roman"/>
                <w:sz w:val="18"/>
                <w:szCs w:val="18"/>
                <w:color w:val="auto"/>
                <w:w w:val="99"/>
              </w:rPr>
              <w:t>investment companies, common stocks,</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ETFs and money market funds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519,746,557</w:t>
            </w:r>
          </w:p>
        </w:tc>
        <w:tc>
          <w:tcPr>
            <w:tcW w:w="0" w:type="dxa"/>
            <w:vAlign w:val="bottom"/>
          </w:tcPr>
          <w:p>
            <w:pPr>
              <w:spacing w:after="0"/>
              <w:rPr>
                <w:sz w:val="1"/>
                <w:szCs w:val="1"/>
                <w:color w:val="auto"/>
              </w:rPr>
            </w:pPr>
          </w:p>
        </w:tc>
      </w:tr>
      <w:tr>
        <w:trPr>
          <w:trHeight w:val="425"/>
        </w:trPr>
        <w:tc>
          <w:tcPr>
            <w:tcW w:w="3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 rates ranging from 4.25% to</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16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9.50%; Maturities ranging from 2026 to</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2045</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23,208,585</w:t>
            </w:r>
          </w:p>
        </w:tc>
        <w:tc>
          <w:tcPr>
            <w:tcW w:w="0" w:type="dxa"/>
            <w:vAlign w:val="bottom"/>
          </w:tcPr>
          <w:p>
            <w:pPr>
              <w:spacing w:after="0"/>
              <w:rPr>
                <w:sz w:val="1"/>
                <w:szCs w:val="1"/>
                <w:color w:val="auto"/>
              </w:rPr>
            </w:pPr>
          </w:p>
        </w:tc>
      </w:tr>
      <w:tr>
        <w:trPr>
          <w:trHeight w:val="480"/>
        </w:trPr>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2,962,774,084</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-3213735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-2896870</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-2596515</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-2167890</wp:posOffset>
            </wp:positionV>
            <wp:extent cx="7132320" cy="282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-1602105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-1276350</wp:posOffset>
            </wp:positionV>
            <wp:extent cx="7132320" cy="3771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-728345</wp:posOffset>
            </wp:positionV>
            <wp:extent cx="7132320" cy="3771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-179070</wp:posOffset>
            </wp:positionV>
            <wp:extent cx="7132320"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-3565525</wp:posOffset>
            </wp:positionV>
            <wp:extent cx="7132320"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200"/>
            <w:col w:w="5580"/>
          </w:cols>
          <w:pgMar w:left="320" w:top="1089"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Party-in-interest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Cost information not required for participant 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820" w:type="dxa"/>
            <w:vAlign w:val="bottom"/>
            <w:gridSpan w:val="3"/>
          </w:tcPr>
          <w:p>
            <w:pPr>
              <w:ind w:left="1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358"/>
        </w:trPr>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14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2"/>
        </w:trPr>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Consent of Eide Bailly LLP</w:t>
            </w:r>
          </w:p>
        </w:tc>
        <w:tc>
          <w:tcPr>
            <w:tcW w:w="7820" w:type="dxa"/>
            <w:vAlign w:val="bottom"/>
            <w:tcBorders>
              <w:top w:val="single" w:sz="8" w:color="auto"/>
            </w:tcBorders>
            <w:gridSpan w:val="3"/>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23" w:name="page24"/>
    <w:bookmarkEnd w:id="2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AECOM RETIREMENT &amp; SAVINGS PLAN</w:t>
      </w:r>
    </w:p>
    <w:p>
      <w:pPr>
        <w:spacing w:after="0" w:line="252"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Dated: June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Zingg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Derek Zingg, Chair, and Delegated Member of the AECOM Americas</w:t>
      </w:r>
    </w:p>
    <w:p>
      <w:pPr>
        <w:spacing w:after="0" w:line="1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Benefits Administration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1184" w:right="47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 333-142070 and No. 333-208964) on Form S-8 of our report dated June 26, 2026, appearing in this Annual Report on Form 11-K of the AECOM Retirement &amp; Savings Plan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Eide Bailly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upperLetter"/>
      <w:start w:val="1"/>
    </w:lvl>
  </w:abstractNum>
  <w:abstractNum w:abstractNumId="3">
    <w:nsid w:val="66EF438D"/>
    <w:multiLevelType w:val="hybridMultilevel"/>
    <w:lvl w:ilvl="0">
      <w:lvlJc w:val="left"/>
      <w:lvlText w:val="%1."/>
      <w:numFmt w:val="upperLetter"/>
      <w:start w:val="2"/>
    </w:lvl>
  </w:abstractNum>
  <w:abstractNum w:abstractNumId="4">
    <w:nsid w:val="140E0F76"/>
    <w:multiLevelType w:val="hybridMultilevel"/>
    <w:lvl w:ilvl="0">
      <w:lvlJc w:val="left"/>
      <w:lvlText w:val="%1."/>
      <w:numFmt w:val="upperLetter"/>
      <w:start w:val="1"/>
    </w:lvl>
  </w:abstractNum>
  <w:abstractNum w:abstractNumId="5">
    <w:nsid w:val="3352255A"/>
    <w:multiLevelType w:val="hybridMultilevel"/>
    <w:lvl w:ilvl="0">
      <w:lvlJc w:val="left"/>
      <w:lvlText w:val="%1."/>
      <w:numFmt w:val="upperLetter"/>
      <w:start w:val="2"/>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upperLetter"/>
      <w:start w:val="3"/>
    </w:lvl>
  </w:abstractNum>
  <w:abstractNum w:abstractNumId="8">
    <w:nsid w:val="7FDCC233"/>
    <w:multiLevelType w:val="hybridMultilevel"/>
    <w:lvl w:ilvl="0">
      <w:lvlJc w:val="left"/>
      <w:lvlText w:val="%1."/>
      <w:numFmt w:val="upperLetter"/>
      <w:start w:val="4"/>
    </w:lvl>
  </w:abstractNum>
  <w:abstractNum w:abstractNumId="9">
    <w:nsid w:val="1BEFD79F"/>
    <w:multiLevelType w:val="hybridMultilevel"/>
    <w:lvl w:ilvl="0">
      <w:lvlJc w:val="left"/>
      <w:lvlText w:val="%1."/>
      <w:numFmt w:val="upperLetter"/>
      <w:start w:val="5"/>
    </w:lvl>
  </w:abstractNum>
  <w:abstractNum w:abstractNumId="10">
    <w:nsid w:val="41A7C4C9"/>
    <w:multiLevelType w:val="hybridMultilevel"/>
    <w:lvl w:ilvl="0">
      <w:lvlJc w:val="left"/>
      <w:lvlText w:val="%1."/>
      <w:numFmt w:val="upperLetter"/>
      <w:start w:val="6"/>
    </w:lvl>
  </w:abstractNum>
  <w:abstractNum w:abstractNumId="11">
    <w:nsid w:val="6B68079A"/>
    <w:multiLevelType w:val="hybridMultilevel"/>
    <w:lvl w:ilvl="0">
      <w:lvlJc w:val="left"/>
      <w:lvlText w:val="%1."/>
      <w:numFmt w:val="upperLetter"/>
      <w:start w:val="7"/>
    </w:lvl>
  </w:abstractNum>
  <w:abstractNum w:abstractNumId="12">
    <w:nsid w:val="4E6AFB66"/>
    <w:multiLevelType w:val="hybridMultilevel"/>
    <w:lvl w:ilvl="0">
      <w:lvlJc w:val="left"/>
      <w:lvlText w:val="%1."/>
      <w:numFmt w:val="upperLetter"/>
      <w:start w:val="8"/>
    </w:lvl>
  </w:abstractNum>
  <w:abstractNum w:abstractNumId="13">
    <w:nsid w:val="25E45D32"/>
    <w:multiLevelType w:val="hybridMultilevel"/>
    <w:lvl w:ilvl="0">
      <w:lvlJc w:val="left"/>
      <w:lvlText w:val="%1."/>
      <w:numFmt w:val="upperLetter"/>
      <w:start w:val="9"/>
    </w:lvl>
  </w:abstractNum>
  <w:abstractNum w:abstractNumId="14">
    <w:nsid w:val="519B500D"/>
    <w:multiLevelType w:val="hybridMultilevel"/>
    <w:lvl w:ilvl="0">
      <w:lvlJc w:val="left"/>
      <w:lvlText w:val="%1."/>
      <w:numFmt w:val="upperLetter"/>
      <w:start w:val="10"/>
    </w:lvl>
  </w:abstractNum>
  <w:abstractNum w:abstractNumId="15">
    <w:nsid w:val="431BD7B7"/>
    <w:multiLevelType w:val="hybridMultilevel"/>
    <w:lvl w:ilvl="0">
      <w:lvlJc w:val="left"/>
      <w:lvlText w:val="%1."/>
      <w:numFmt w:val="upperLetter"/>
      <w:start w:val="11"/>
    </w:lvl>
  </w:abstractNum>
  <w:abstractNum w:abstractNumId="16">
    <w:nsid w:val="3F2DBA31"/>
    <w:multiLevelType w:val="hybridMultilevel"/>
    <w:lvl w:ilvl="0">
      <w:lvlJc w:val="left"/>
      <w:lvlText w:val="%1."/>
      <w:numFmt w:val="upperLetter"/>
      <w:start w:val="12"/>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2026-06-26T16:31:36Z</dcterms:created>
  <dcterms:modified xsi:type="dcterms:W3CDTF">2026-06-26T16:31:36Z</dcterms:modified>
</cp:coreProperties>
</file>