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11,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AECOM</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0-52423</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61-1088522</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13355 Noel Road</w:t>
            </w:r>
          </w:p>
        </w:tc>
        <w:tc>
          <w:tcPr>
            <w:tcW w:w="54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Dallas, Texas 75240</w:t>
            </w:r>
          </w:p>
        </w:tc>
        <w:tc>
          <w:tcPr>
            <w:tcW w:w="5440" w:type="dxa"/>
            <w:vAlign w:val="bottom"/>
          </w:tcPr>
          <w:p>
            <w:pPr>
              <w:spacing w:after="0"/>
              <w:rPr>
                <w:sz w:val="19"/>
                <w:szCs w:val="19"/>
                <w:color w:val="auto"/>
              </w:rPr>
            </w:pPr>
          </w:p>
        </w:tc>
        <w:tc>
          <w:tcPr>
            <w:tcW w:w="17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75240</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w:t>
            </w:r>
          </w:p>
        </w:tc>
        <w:tc>
          <w:tcPr>
            <w:tcW w:w="5440" w:type="dxa"/>
            <w:vAlign w:val="bottom"/>
          </w:tcPr>
          <w:p>
            <w:pPr>
              <w:spacing w:after="0"/>
              <w:rPr>
                <w:sz w:val="18"/>
                <w:szCs w:val="18"/>
                <w:color w:val="auto"/>
              </w:rPr>
            </w:pP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Executive Offices)</w:t>
            </w:r>
          </w:p>
        </w:tc>
        <w:tc>
          <w:tcPr>
            <w:tcW w:w="5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(972) 788-1000</w:t>
            </w:r>
          </w:p>
        </w:tc>
        <w:tc>
          <w:tcPr>
            <w:tcW w:w="1700" w:type="dxa"/>
            <w:vAlign w:val="bottom"/>
          </w:tcPr>
          <w:p>
            <w:pPr>
              <w:spacing w:after="0"/>
              <w:rPr>
                <w:sz w:val="24"/>
                <w:szCs w:val="24"/>
                <w:color w:val="auto"/>
              </w:rPr>
            </w:pPr>
          </w:p>
        </w:tc>
      </w:tr>
      <w:tr>
        <w:trPr>
          <w:trHeight w:val="414"/>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8040" w:type="dxa"/>
            <w:vAlign w:val="bottom"/>
            <w:gridSpan w:val="5"/>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2"/>
        </w:trPr>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00" w:type="dxa"/>
            <w:vAlign w:val="bottom"/>
            <w:tcBorders>
              <w:top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ACM</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11, 2026, AECOM issued a press release announcing its financial results for the quarter ended March 31, 2026. A copy of the press release is attached to this report as Exhibit 99.1. Exhibit 99.1 attached hereto shall not be deemed “filed” for purposes of Section 18 of the Securities Exchange Act of 1934, as amended, nor shall it be deemed incorporated by reference in any filing under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AECOM reports its results of operations based on 52 or 53-week periods ending on the Friday nearest September 30, December 31, March 31, and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clarity of presentation, all periods are presented as if the periods ended on September 30, December 31, March 31, and June 30.</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11, 2026 entitled “AECOM reports second quarter fiscal 2026 results”.</w:t>
      </w:r>
    </w:p>
    <w:p>
      <w:pPr>
        <w:spacing w:after="0" w:line="2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ind w:left="5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AECOM</w:t>
            </w:r>
          </w:p>
        </w:tc>
      </w:tr>
      <w:tr>
        <w:trPr>
          <w:trHeight w:val="64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May 11, 2026</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David Y. Gan</w:t>
            </w:r>
          </w:p>
        </w:tc>
      </w:tr>
      <w:tr>
        <w:trPr>
          <w:trHeight w:val="191"/>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Y. Gan</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r>
      <w:tr>
        <w:trPr>
          <w:trHeight w:val="675"/>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183005" cy="33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300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 Contact</w:t>
            </w:r>
            <w:r>
              <w:rPr>
                <w:rFonts w:ascii="Times New Roman" w:cs="Times New Roman" w:eastAsia="Times New Roman" w:hAnsi="Times New Roman"/>
                <w:sz w:val="18"/>
                <w:szCs w:val="18"/>
                <w:color w:val="auto"/>
              </w:rPr>
              <w:t>:</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216"/>
        </w:trPr>
        <w:tc>
          <w:tcPr>
            <w:tcW w:w="338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Gabrielski</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Brendan Ranson-Walsh</w:t>
            </w:r>
          </w:p>
        </w:tc>
      </w:tr>
      <w:tr>
        <w:trPr>
          <w:trHeight w:val="216"/>
        </w:trPr>
        <w:tc>
          <w:tcPr>
            <w:tcW w:w="338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Finance, Treasurer</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Global Communications</w:t>
            </w:r>
          </w:p>
        </w:tc>
      </w:tr>
      <w:tr>
        <w:trPr>
          <w:trHeight w:val="216"/>
        </w:trPr>
        <w:tc>
          <w:tcPr>
            <w:tcW w:w="33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213.593.8208</w:t>
            </w:r>
          </w:p>
        </w:tc>
        <w:tc>
          <w:tcPr>
            <w:tcW w:w="10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213.996.2367</w:t>
            </w:r>
          </w:p>
        </w:tc>
        <w:tc>
          <w:tcPr>
            <w:tcW w:w="740" w:type="dxa"/>
            <w:vAlign w:val="bottom"/>
          </w:tcPr>
          <w:p>
            <w:pPr>
              <w:spacing w:after="0"/>
              <w:rPr>
                <w:sz w:val="18"/>
                <w:szCs w:val="18"/>
                <w:color w:val="auto"/>
              </w:rPr>
            </w:pPr>
          </w:p>
        </w:tc>
      </w:tr>
      <w:tr>
        <w:trPr>
          <w:trHeight w:val="194"/>
        </w:trPr>
        <w:tc>
          <w:tcPr>
            <w:tcW w:w="3380" w:type="dxa"/>
            <w:vAlign w:val="bottom"/>
          </w:tcPr>
          <w:p>
            <w:pPr>
              <w:spacing w:after="0"/>
              <w:rPr>
                <w:sz w:val="16"/>
                <w:szCs w:val="16"/>
                <w:color w:val="auto"/>
              </w:rPr>
            </w:pPr>
          </w:p>
        </w:tc>
        <w:tc>
          <w:tcPr>
            <w:tcW w:w="33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William.Gabrielski@aecom.com</w:t>
            </w:r>
          </w:p>
        </w:tc>
        <w:tc>
          <w:tcPr>
            <w:tcW w:w="34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Brendan.Ranson-Walsh@aecom.com</w:t>
            </w:r>
          </w:p>
        </w:tc>
      </w:tr>
      <w:tr>
        <w:trPr>
          <w:trHeight w:val="20"/>
        </w:trPr>
        <w:tc>
          <w:tcPr>
            <w:tcW w:w="33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AECOM reports second quarter fiscal 2026 results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Delivered record second quarter performance</w:t>
      </w:r>
    </w:p>
    <w:p>
      <w:pPr>
        <w:spacing w:after="0" w:line="31" w:lineRule="exact"/>
        <w:rPr>
          <w:rFonts w:ascii="Times New Roman" w:cs="Times New Roman" w:eastAsia="Times New Roman" w:hAnsi="Times New Roman"/>
          <w:sz w:val="18"/>
          <w:szCs w:val="18"/>
          <w:color w:val="auto"/>
        </w:rPr>
      </w:pPr>
    </w:p>
    <w:p>
      <w:pPr>
        <w:ind w:left="660" w:right="200" w:hanging="328"/>
        <w:spacing w:after="0" w:line="182"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Design book-to-burn ratio of 1.2 drove 8% total backlog growth to a record high; 22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consecutive quarter with a book-to-burn ratio in excess of 1</w:t>
      </w:r>
    </w:p>
    <w:p>
      <w:pPr>
        <w:spacing w:after="0" w:line="1"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Continued to execute returns-based capital allocation policy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Raised earnings guidance for a second consecutive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DALLAS (May 11, 2026) </w:t>
      </w:r>
      <w:r>
        <w:rPr>
          <w:rFonts w:ascii="Times New Roman" w:cs="Times New Roman" w:eastAsia="Times New Roman" w:hAnsi="Times New Roman"/>
          <w:sz w:val="18"/>
          <w:szCs w:val="18"/>
          <w:color w:val="auto"/>
        </w:rPr>
        <w:t>— AECOM (NYSE:ACM), the trusted global infrastructure leader, today reported second quarter fiscal 2026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Highlights:</w:t>
      </w:r>
    </w:p>
    <w:p>
      <w:pPr>
        <w:spacing w:after="0" w:line="229" w:lineRule="exact"/>
        <w:rPr>
          <w:sz w:val="20"/>
          <w:szCs w:val="20"/>
          <w:color w:val="auto"/>
        </w:rPr>
      </w:pPr>
    </w:p>
    <w:p>
      <w:pPr>
        <w:ind w:left="660" w:right="34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Reflecting as reported GAAP performance from continuing operations, second quarter revenue increased 1% to $3.8 billion, operating income declined 4% to $248 million, net income increased 19% to $184 million and diluted earnings per share increased 22% to $1.42.</w:t>
      </w:r>
    </w:p>
    <w:p>
      <w:pPr>
        <w:ind w:left="660" w:right="20" w:hanging="328"/>
        <w:spacing w:after="0" w:line="182"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Net service revenue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increased 4% on an as reported basis, or 2% on a constant-currency basis, highlighted by 8% constant-currency growth in the Americas design business.</w:t>
      </w:r>
    </w:p>
    <w:p>
      <w:pPr>
        <w:spacing w:after="0" w:line="1" w:lineRule="exact"/>
        <w:rPr>
          <w:rFonts w:ascii="Times New Roman" w:cs="Times New Roman" w:eastAsia="Times New Roman" w:hAnsi="Times New Roman"/>
          <w:sz w:val="36"/>
          <w:szCs w:val="36"/>
          <w:color w:val="auto"/>
          <w:vertAlign w:val="superscript"/>
        </w:rPr>
      </w:pPr>
    </w:p>
    <w:p>
      <w:pPr>
        <w:ind w:left="660" w:right="140" w:hanging="328"/>
        <w:spacing w:after="0" w:line="182"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segment adjusted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operating margin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increased by 50 basis points to 16.5% and the adjusted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EBITDA margin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increased by 20 basis points to 16.5%, both of which set new all-time highs for a second quarter.</w:t>
      </w:r>
    </w:p>
    <w:p>
      <w:pPr>
        <w:spacing w:after="0" w:line="1" w:lineRule="exact"/>
        <w:rPr>
          <w:rFonts w:ascii="Times New Roman" w:cs="Times New Roman" w:eastAsia="Times New Roman" w:hAnsi="Times New Roman"/>
          <w:sz w:val="36"/>
          <w:szCs w:val="36"/>
          <w:color w:val="auto"/>
          <w:vertAlign w:val="superscript"/>
        </w:rPr>
      </w:pPr>
    </w:p>
    <w:p>
      <w:pPr>
        <w:ind w:left="1300" w:right="540" w:hanging="320"/>
        <w:spacing w:after="0" w:line="25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in the first half of the year, the segment adjusted operating margin and the adjusted EBITDA margin were both 16.5%, increasing by 70 basis points and 50 basis points, respectively, and set new records.</w:t>
      </w:r>
    </w:p>
    <w:p>
      <w:pPr>
        <w:ind w:left="660" w:hanging="328"/>
        <w:spacing w:after="0" w:line="183" w:lineRule="auto"/>
        <w:tabs>
          <w:tab w:leader="none" w:pos="660" w:val="left"/>
        </w:tabs>
        <w:numPr>
          <w:ilvl w:val="0"/>
          <w:numId w:val="4"/>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Adjusted</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xml:space="preserve"> EBITDA</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7"/>
          <w:szCs w:val="17"/>
          <w:color w:val="auto"/>
        </w:rPr>
        <w:t xml:space="preserve"> increased by 8% and adjusted</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xml:space="preserve"> EPS increased by 27%.</w:t>
      </w:r>
    </w:p>
    <w:p>
      <w:pPr>
        <w:ind w:left="660" w:hanging="328"/>
        <w:spacing w:after="0" w:line="180" w:lineRule="auto"/>
        <w:tabs>
          <w:tab w:leader="none" w:pos="66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Total backlog</w:t>
      </w: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4"/>
          <w:szCs w:val="14"/>
          <w:color w:val="auto"/>
        </w:rPr>
        <w:t xml:space="preserve"> increased by 8% to a record high, driven by a 1.2 book-to-burn</w:t>
      </w: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4"/>
          <w:szCs w:val="14"/>
          <w:color w:val="auto"/>
        </w:rPr>
        <w:t xml:space="preserve"> ratio in the design business.</w:t>
      </w:r>
    </w:p>
    <w:p>
      <w:pPr>
        <w:ind w:left="1300" w:hanging="320"/>
        <w:spacing w:after="0" w:line="258"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pipeline increased by double-digits and reached a record level, driven by strong funding across the Company’s markets and an expanding addressable market opportunity.</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Second Quarter Fiscal 2026</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Adjusted</w:t>
            </w:r>
            <w:r>
              <w:rPr>
                <w:rFonts w:ascii="Times New Roman" w:cs="Times New Roman" w:eastAsia="Times New Roman" w:hAnsi="Times New Roman"/>
                <w:sz w:val="29"/>
                <w:szCs w:val="29"/>
                <w:b w:val="1"/>
                <w:bCs w:val="1"/>
                <w:color w:val="auto"/>
                <w:vertAlign w:val="superscript"/>
              </w:rPr>
              <w:t>2</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(from Continuing Operations;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EPS)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YoY % Change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220" w:type="dxa"/>
            <w:vAlign w:val="bottom"/>
          </w:tcPr>
          <w:p>
            <w:pPr>
              <w:spacing w:after="0"/>
              <w:rPr>
                <w:sz w:val="20"/>
                <w:szCs w:val="20"/>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YoY % Change</w:t>
            </w:r>
          </w:p>
        </w:tc>
        <w:tc>
          <w:tcPr>
            <w:tcW w:w="0" w:type="dxa"/>
            <w:vAlign w:val="bottom"/>
          </w:tcPr>
          <w:p>
            <w:pPr>
              <w:spacing w:after="0"/>
              <w:rPr>
                <w:sz w:val="1"/>
                <w:szCs w:val="1"/>
                <w:color w:val="auto"/>
              </w:rPr>
            </w:pPr>
          </w:p>
        </w:tc>
      </w:tr>
      <w:tr>
        <w:trPr>
          <w:trHeight w:val="20"/>
        </w:trPr>
        <w:tc>
          <w:tcPr>
            <w:tcW w:w="32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26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Net Service Revenue (NSR)</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20" w:type="dxa"/>
            <w:vAlign w:val="bottom"/>
          </w:tcPr>
          <w:p>
            <w:pPr>
              <w:spacing w:after="0"/>
              <w:rPr>
                <w:sz w:val="22"/>
                <w:szCs w:val="22"/>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3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Segment Operating Margin</w:t>
            </w:r>
            <w:r>
              <w:rPr>
                <w:rFonts w:ascii="Times New Roman" w:cs="Times New Roman" w:eastAsia="Times New Roman" w:hAnsi="Times New Roman"/>
                <w:sz w:val="29"/>
                <w:szCs w:val="29"/>
                <w:color w:val="auto"/>
                <w:vertAlign w:val="superscript"/>
              </w:rPr>
              <w:t>3</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 bps</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EPS (Fully Diluted)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5</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7"/>
        </w:trPr>
        <w:tc>
          <w:tcPr>
            <w:tcW w:w="3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EBITDA Margin</w:t>
            </w:r>
            <w:r>
              <w:rPr>
                <w:rFonts w:ascii="Times New Roman" w:cs="Times New Roman" w:eastAsia="Times New Roman" w:hAnsi="Times New Roman"/>
                <w:sz w:val="29"/>
                <w:szCs w:val="29"/>
                <w:color w:val="auto"/>
                <w:vertAlign w:val="superscript"/>
              </w:rPr>
              <w:t>4</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 bps</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9"/>
                <w:szCs w:val="29"/>
                <w:color w:val="auto"/>
                <w:vertAlign w:val="superscript"/>
              </w:rPr>
              <w:t>8</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Total Backlog</w:t>
            </w:r>
            <w:r>
              <w:rPr>
                <w:rFonts w:ascii="Times New Roman" w:cs="Times New Roman" w:eastAsia="Times New Roman" w:hAnsi="Times New Roman"/>
                <w:sz w:val="29"/>
                <w:szCs w:val="29"/>
                <w:color w:val="auto"/>
                <w:vertAlign w:val="superscript"/>
              </w:rPr>
              <w:t>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26,204</w:t>
            </w:r>
          </w:p>
        </w:tc>
        <w:tc>
          <w:tcPr>
            <w:tcW w:w="2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strong second quarter and fiscal year-to-date performance highlights the strength and resiliency of our business,” said Troy Rudd, AECOM’s chairman and chief executive officer. “Our competitive advantages of scale, infrastructure domain and technical expertise, and strong client relationships are key to our successes. We are continuing to invest at record levels to enhance our client value proposition and expand our addressable market, which includes our proprietary AI investments and growing our Advisory practice. Taken together, we are well positioned to deliver on both our twice-raised fiscal 2026 guidance and our long-term financial targets.”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right="660"/>
        <w:spacing w:after="0" w:line="282" w:lineRule="auto"/>
        <w:rPr>
          <w:sz w:val="20"/>
          <w:szCs w:val="20"/>
          <w:color w:val="auto"/>
        </w:rPr>
      </w:pPr>
      <w:r>
        <w:rPr>
          <w:rFonts w:ascii="Times New Roman" w:cs="Times New Roman" w:eastAsia="Times New Roman" w:hAnsi="Times New Roman"/>
          <w:sz w:val="18"/>
          <w:szCs w:val="18"/>
          <w:color w:val="auto"/>
        </w:rPr>
        <w:t>“Our teams continue to build momentum and our investments to extend our competitive advantages are contributing to a strengthened client value proposition,” said Lara Poloni, AECOM’s president. “Now more than ever, we are positioned to deliver complex technical expertise at scale.”</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our second quarter performance and raised full year financial guidance underscore, we have an enduring competitive advantage that allows us to continue to deliver,” said Gaurav Kapoor, AECOM’s chief financial and operations officer. “Our competitive advantages have enabled us to consistently win increasingly valuable projects, and in turn, deliver continued earnings growth year after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and Capital Allocation</w:t>
      </w:r>
    </w:p>
    <w:p>
      <w:pPr>
        <w:spacing w:after="0" w:line="229" w:lineRule="exact"/>
        <w:rPr>
          <w:sz w:val="20"/>
          <w:szCs w:val="20"/>
          <w:color w:val="auto"/>
        </w:rPr>
      </w:pPr>
    </w:p>
    <w:p>
      <w:pPr>
        <w:ind w:left="660" w:right="5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cash flow in the second quarter was consistent with expectations, but was offset by delayed payment timing in the Middle East business, as well as longer-than-anticipated claim resolution on certain projects.</w:t>
      </w:r>
    </w:p>
    <w:p>
      <w:pPr>
        <w:ind w:left="660" w:right="28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Importantly, collections in the Middle East have already recovered in the fiscal third quarter and AECOM reiterated its full year free cash flow guidance, as well as its long-term 100%+ free cash flow conversion target.</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returned $155 million to shareholders through repurchases and dividends in the quarter.</w:t>
      </w:r>
    </w:p>
    <w:p>
      <w:pPr>
        <w:spacing w:after="0" w:line="9" w:lineRule="exact"/>
        <w:rPr>
          <w:rFonts w:ascii="Times New Roman" w:cs="Times New Roman" w:eastAsia="Times New Roman" w:hAnsi="Times New Roman"/>
          <w:sz w:val="18"/>
          <w:szCs w:val="18"/>
          <w:color w:val="auto"/>
        </w:rPr>
      </w:pPr>
    </w:p>
    <w:p>
      <w:pPr>
        <w:ind w:left="1300" w:right="720" w:hanging="320"/>
        <w:spacing w:after="0" w:line="250"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initiation of its repurchase program in September 2020, the Company has returned more than $3.5 billion of capital to shareholders.</w:t>
      </w:r>
    </w:p>
    <w:p>
      <w:pPr>
        <w:ind w:left="1300" w:right="320" w:hanging="320"/>
        <w:spacing w:after="0" w:line="250"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remains committed to executing its returns-focused capital allocation policy, which includes returning substantially all available cash flow to shareholders through repurchases and dividends.</w:t>
      </w:r>
    </w:p>
    <w:p>
      <w:pPr>
        <w:ind w:left="660" w:hanging="328"/>
        <w:spacing w:after="0" w:line="219" w:lineRule="auto"/>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Company maintains a strong balance sheet with net leverage</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of 1.2x.</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2026 and Long-Term Financial Guidance</w:t>
      </w:r>
    </w:p>
    <w:p>
      <w:pPr>
        <w:spacing w:after="0" w:line="223" w:lineRule="exact"/>
        <w:rPr>
          <w:sz w:val="20"/>
          <w:szCs w:val="20"/>
          <w:color w:val="auto"/>
        </w:rPr>
      </w:pPr>
    </w:p>
    <w:p>
      <w:pPr>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increased its fiscal 2026 earnings guidance, supported by its strong year-to-date performance, another quarter of record backlog and double-digit pipeline growth.</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the Company’s guidance now includes expectations for:</w:t>
      </w:r>
    </w:p>
    <w:p>
      <w:pPr>
        <w:spacing w:after="0" w:line="9" w:lineRule="exact"/>
        <w:rPr>
          <w:rFonts w:ascii="Times New Roman" w:cs="Times New Roman" w:eastAsia="Times New Roman" w:hAnsi="Times New Roman"/>
          <w:sz w:val="18"/>
          <w:szCs w:val="18"/>
          <w:color w:val="auto"/>
        </w:rPr>
      </w:pPr>
    </w:p>
    <w:p>
      <w:pPr>
        <w:ind w:left="1300" w:right="120" w:hanging="320"/>
        <w:spacing w:after="0" w:line="182" w:lineRule="auto"/>
        <w:tabs>
          <w:tab w:leader="none" w:pos="1300" w:val="left"/>
        </w:tabs>
        <w:numPr>
          <w:ilvl w:val="1"/>
          <w:numId w:val="6"/>
        </w:numPr>
        <w:rPr>
          <w:rFonts w:ascii="Arial" w:cs="Arial" w:eastAsia="Arial" w:hAnsi="Arial"/>
          <w:sz w:val="36"/>
          <w:szCs w:val="36"/>
          <w:color w:val="auto"/>
          <w:vertAlign w:val="superscript"/>
        </w:rPr>
      </w:pPr>
      <w:r>
        <w:rPr>
          <w:rFonts w:ascii="Times New Roman" w:cs="Times New Roman" w:eastAsia="Times New Roman" w:hAnsi="Times New Roman"/>
          <w:sz w:val="18"/>
          <w:szCs w:val="18"/>
          <w:color w:val="auto"/>
        </w:rPr>
        <w:t>Adjusted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EPS of between $5.90 and $6.10, as compared to $5.85 to 6.05 previously, which now represents 14% year-over-year growth at the mid-point of the range.</w:t>
      </w:r>
    </w:p>
    <w:p>
      <w:pPr>
        <w:spacing w:after="0" w:line="1" w:lineRule="exact"/>
        <w:rPr>
          <w:rFonts w:ascii="Arial" w:cs="Arial" w:eastAsia="Arial" w:hAnsi="Arial"/>
          <w:sz w:val="36"/>
          <w:szCs w:val="36"/>
          <w:color w:val="auto"/>
          <w:vertAlign w:val="superscript"/>
        </w:rPr>
      </w:pPr>
    </w:p>
    <w:p>
      <w:pPr>
        <w:ind w:left="1300" w:right="20" w:hanging="320"/>
        <w:spacing w:after="0" w:line="182" w:lineRule="auto"/>
        <w:tabs>
          <w:tab w:leader="none" w:pos="1300" w:val="left"/>
        </w:tabs>
        <w:numPr>
          <w:ilvl w:val="1"/>
          <w:numId w:val="6"/>
        </w:numPr>
        <w:rPr>
          <w:rFonts w:ascii="Arial" w:cs="Arial" w:eastAsia="Arial" w:hAnsi="Arial"/>
          <w:sz w:val="36"/>
          <w:szCs w:val="36"/>
          <w:color w:val="auto"/>
          <w:vertAlign w:val="superscript"/>
        </w:rPr>
      </w:pPr>
      <w:r>
        <w:rPr>
          <w:rFonts w:ascii="Times New Roman" w:cs="Times New Roman" w:eastAsia="Times New Roman" w:hAnsi="Times New Roman"/>
          <w:sz w:val="18"/>
          <w:szCs w:val="18"/>
          <w:color w:val="auto"/>
        </w:rPr>
        <w:t>Adjusted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EBITDA</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of between $1,275 million and $1,305 million, as compared to $1,270 million and $1,305 million previously, which now represents 7% year-over-year growth at the mid-point of the range.</w:t>
      </w:r>
    </w:p>
    <w:p>
      <w:pPr>
        <w:spacing w:after="0" w:line="1" w:lineRule="exact"/>
        <w:rPr>
          <w:rFonts w:ascii="Arial" w:cs="Arial" w:eastAsia="Arial" w:hAnsi="Arial"/>
          <w:sz w:val="36"/>
          <w:szCs w:val="36"/>
          <w:color w:val="auto"/>
          <w:vertAlign w:val="superscript"/>
        </w:rPr>
      </w:pPr>
    </w:p>
    <w:p>
      <w:pPr>
        <w:ind w:left="1300" w:right="300" w:hanging="320"/>
        <w:spacing w:after="0" w:line="182" w:lineRule="auto"/>
        <w:tabs>
          <w:tab w:leader="none" w:pos="1300" w:val="left"/>
        </w:tabs>
        <w:numPr>
          <w:ilvl w:val="1"/>
          <w:numId w:val="6"/>
        </w:numPr>
        <w:rPr>
          <w:rFonts w:ascii="Arial" w:cs="Arial" w:eastAsia="Arial" w:hAnsi="Arial"/>
          <w:sz w:val="36"/>
          <w:szCs w:val="36"/>
          <w:color w:val="auto"/>
          <w:vertAlign w:val="superscript"/>
        </w:rPr>
      </w:pPr>
      <w:r>
        <w:rPr>
          <w:rFonts w:ascii="Times New Roman" w:cs="Times New Roman" w:eastAsia="Times New Roman" w:hAnsi="Times New Roman"/>
          <w:sz w:val="18"/>
          <w:szCs w:val="18"/>
          <w:color w:val="auto"/>
        </w:rPr>
        <w:t>Reiterated organic NSR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growth range of between 6% and 8%, which excludes the expected approximately 200 basis point impact of fewer working days in fiscal 2026.</w:t>
      </w:r>
    </w:p>
    <w:p>
      <w:pPr>
        <w:spacing w:after="0" w:line="1" w:lineRule="exact"/>
        <w:rPr>
          <w:rFonts w:ascii="Arial" w:cs="Arial" w:eastAsia="Arial" w:hAnsi="Arial"/>
          <w:sz w:val="36"/>
          <w:szCs w:val="36"/>
          <w:color w:val="auto"/>
          <w:vertAlign w:val="superscript"/>
        </w:rPr>
      </w:pPr>
    </w:p>
    <w:p>
      <w:pPr>
        <w:ind w:left="1300" w:hanging="320"/>
        <w:spacing w:after="0" w:line="183" w:lineRule="auto"/>
        <w:tabs>
          <w:tab w:leader="none" w:pos="1300" w:val="left"/>
        </w:tabs>
        <w:numPr>
          <w:ilvl w:val="1"/>
          <w:numId w:val="6"/>
        </w:numPr>
        <w:rPr>
          <w:rFonts w:ascii="Arial" w:cs="Arial" w:eastAsia="Arial" w:hAnsi="Arial"/>
          <w:sz w:val="34"/>
          <w:szCs w:val="34"/>
          <w:color w:val="auto"/>
          <w:vertAlign w:val="superscript"/>
        </w:rPr>
      </w:pPr>
      <w:r>
        <w:rPr>
          <w:rFonts w:ascii="Times New Roman" w:cs="Times New Roman" w:eastAsia="Times New Roman" w:hAnsi="Times New Roman"/>
          <w:sz w:val="17"/>
          <w:szCs w:val="17"/>
          <w:color w:val="auto"/>
        </w:rPr>
        <w:t>A segment adjusted operating margin</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7"/>
          <w:szCs w:val="17"/>
          <w:color w:val="auto"/>
        </w:rPr>
        <w:t xml:space="preserve"> of 16.8% and an adjusted EBITDA margin</w:t>
      </w:r>
      <w:r>
        <w:rPr>
          <w:rFonts w:ascii="Times New Roman" w:cs="Times New Roman" w:eastAsia="Times New Roman" w:hAnsi="Times New Roman"/>
          <w:sz w:val="27"/>
          <w:szCs w:val="27"/>
          <w:color w:val="auto"/>
          <w:vertAlign w:val="superscript"/>
        </w:rPr>
        <w:t>4</w:t>
      </w:r>
      <w:r>
        <w:rPr>
          <w:rFonts w:ascii="Times New Roman" w:cs="Times New Roman" w:eastAsia="Times New Roman" w:hAnsi="Times New Roman"/>
          <w:sz w:val="17"/>
          <w:szCs w:val="17"/>
          <w:color w:val="auto"/>
        </w:rPr>
        <w:t xml:space="preserve"> of 17.0%.</w:t>
      </w:r>
    </w:p>
    <w:p>
      <w:pPr>
        <w:ind w:left="1300" w:hanging="320"/>
        <w:spacing w:after="0" w:line="180" w:lineRule="auto"/>
        <w:tabs>
          <w:tab w:leader="none" w:pos="1300" w:val="left"/>
        </w:tabs>
        <w:numPr>
          <w:ilvl w:val="1"/>
          <w:numId w:val="6"/>
        </w:numPr>
        <w:rPr>
          <w:rFonts w:ascii="Arial" w:cs="Arial" w:eastAsia="Arial" w:hAnsi="Arial"/>
          <w:sz w:val="25"/>
          <w:szCs w:val="25"/>
          <w:color w:val="auto"/>
          <w:vertAlign w:val="superscript"/>
        </w:rPr>
      </w:pPr>
      <w:r>
        <w:rPr>
          <w:rFonts w:ascii="Times New Roman" w:cs="Times New Roman" w:eastAsia="Times New Roman" w:hAnsi="Times New Roman"/>
          <w:sz w:val="14"/>
          <w:szCs w:val="14"/>
          <w:color w:val="auto"/>
        </w:rPr>
        <w:t>Free cash flow</w:t>
      </w: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4"/>
          <w:szCs w:val="14"/>
          <w:color w:val="auto"/>
        </w:rPr>
        <w:t xml:space="preserve"> of approximately $400 million.</w:t>
      </w:r>
    </w:p>
    <w:p>
      <w:pPr>
        <w:ind w:left="1300" w:right="140" w:hanging="320"/>
        <w:spacing w:after="0" w:line="249"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fully diluted share count of 130 million, which does not include any potential future benefits from capital allocation actions not yet taken, including potential repurchases.</w:t>
      </w: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adjusted effective tax rate of approximately 20 – 22%.</w:t>
      </w:r>
    </w:p>
    <w:p>
      <w:pPr>
        <w:spacing w:after="0" w:line="9" w:lineRule="exact"/>
        <w:rPr>
          <w:rFonts w:ascii="Times New Roman" w:cs="Times New Roman" w:eastAsia="Times New Roman" w:hAnsi="Times New Roman"/>
          <w:sz w:val="18"/>
          <w:szCs w:val="18"/>
          <w:color w:val="auto"/>
        </w:rPr>
      </w:pPr>
    </w:p>
    <w:p>
      <w:pPr>
        <w:ind w:left="660" w:right="300" w:hanging="328"/>
        <w:spacing w:after="0" w:line="21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reaffirmed its long-term financial targets, which includes its expectation to deliver a 20%+ margin exit rate by fiscal 2028 and to grow adjusted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EPS at a 15%+ CAGR from fiscal 2026 to fiscal 2029.</w:t>
      </w:r>
    </w:p>
    <w:p>
      <w:pPr>
        <w:spacing w:after="0" w:line="1" w:lineRule="exact"/>
        <w:rPr>
          <w:rFonts w:ascii="Times New Roman" w:cs="Times New Roman" w:eastAsia="Times New Roman" w:hAnsi="Times New Roman"/>
          <w:sz w:val="18"/>
          <w:szCs w:val="18"/>
          <w:color w:val="auto"/>
        </w:rPr>
      </w:pPr>
    </w:p>
    <w:p>
      <w:pPr>
        <w:ind w:left="660" w:right="34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Regulation G Information tables at the end of this release for a reconciliation of non-GAAP measures to the most directly comparable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Americas</w:t>
      </w:r>
    </w:p>
    <w:p>
      <w:pPr>
        <w:spacing w:after="0" w:line="229" w:lineRule="exact"/>
        <w:rPr>
          <w:sz w:val="20"/>
          <w:szCs w:val="20"/>
          <w:color w:val="auto"/>
        </w:rPr>
      </w:pPr>
    </w:p>
    <w:p>
      <w:pPr>
        <w:ind w:right="520"/>
        <w:spacing w:after="0" w:line="216" w:lineRule="auto"/>
        <w:rPr>
          <w:sz w:val="20"/>
          <w:szCs w:val="20"/>
          <w:color w:val="auto"/>
        </w:rPr>
      </w:pPr>
      <w:r>
        <w:rPr>
          <w:rFonts w:ascii="Times New Roman" w:cs="Times New Roman" w:eastAsia="Times New Roman" w:hAnsi="Times New Roman"/>
          <w:sz w:val="18"/>
          <w:szCs w:val="18"/>
          <w:color w:val="auto"/>
        </w:rPr>
        <w:t>Revenue in the second quarter was $2.9 billion, a 1% increase from the prior year. Net service revenue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the second quarter was $1.2 billion, a 5% increase from the prior year, driven by 8% growth in the Americas design business.</w:t>
      </w:r>
    </w:p>
    <w:p>
      <w:pPr>
        <w:spacing w:after="0" w:line="20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Operating income increased by 5% over the prior year to $228 million and on an adjusted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basis increased by 10% to $239 million. The adjusted operating margin on net service revenue increased by 60 basis points over the prior year to 20.0%, which marked a new all-time high for a second quarter. This performance reflects a continued focus on driving operating efficiencies across the business and the high returns on the investments the Company has made and continues to make in organic growth.</w:t>
      </w:r>
    </w:p>
    <w:p>
      <w:pPr>
        <w:spacing w:after="0" w:line="202"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8"/>
          <w:szCs w:val="18"/>
          <w:color w:val="auto"/>
        </w:rPr>
        <w:t>Backlog in the Americas segment grew by 2% to a new record high, driven by a 1.0 book-to-burn ratio</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The Americas design business had a 1.1 book-to-burn ratio led by strong wins in the Transportation, Environment and Water end markets.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w:t>
      </w:r>
    </w:p>
    <w:p>
      <w:pPr>
        <w:spacing w:after="0" w:line="229" w:lineRule="exact"/>
        <w:rPr>
          <w:sz w:val="20"/>
          <w:szCs w:val="20"/>
          <w:color w:val="auto"/>
        </w:rPr>
      </w:pPr>
    </w:p>
    <w:p>
      <w:pPr>
        <w:ind w:right="180"/>
        <w:spacing w:after="0" w:line="216" w:lineRule="auto"/>
        <w:rPr>
          <w:sz w:val="20"/>
          <w:szCs w:val="20"/>
          <w:color w:val="auto"/>
        </w:rPr>
      </w:pPr>
      <w:r>
        <w:rPr>
          <w:rFonts w:ascii="Times New Roman" w:cs="Times New Roman" w:eastAsia="Times New Roman" w:hAnsi="Times New Roman"/>
          <w:sz w:val="18"/>
          <w:szCs w:val="18"/>
          <w:color w:val="auto"/>
        </w:rPr>
        <w:t>Revenue in the second quarter was $890 million, a 2% increase from the prior year. Net service revenue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$754 million, a 3% decrease from the prior year, driven by declines in the Asia and Middle East markets.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ind w:right="40"/>
        <w:spacing w:after="0" w:line="225" w:lineRule="auto"/>
        <w:rPr>
          <w:sz w:val="20"/>
          <w:szCs w:val="20"/>
          <w:color w:val="auto"/>
        </w:rPr>
      </w:pPr>
      <w:r>
        <w:rPr>
          <w:rFonts w:ascii="Times New Roman" w:cs="Times New Roman" w:eastAsia="Times New Roman" w:hAnsi="Times New Roman"/>
          <w:sz w:val="18"/>
          <w:szCs w:val="18"/>
          <w:color w:val="auto"/>
        </w:rPr>
        <w:t>Operating income decreased by 6% over the prior year to $77 million and on an adjusted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basis increased 2% to $84 million. The adjusted operating margin on net service revenue was effectively unchanged over the prior year at 11.1%. This performance includes an impact from lower revenues in certain regions due to the conflict in the Middle East, as well as continued investments in business development and strategic growth initiatives.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in the International segment grew 25% over the prior year to a new record high, driven by a 1.2 book-to-burn ratio</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and strong wins in the U.K.</w:t>
      </w:r>
    </w:p>
    <w:p>
      <w:pPr>
        <w:spacing w:after="0"/>
        <w:rPr>
          <w:sz w:val="20"/>
          <w:szCs w:val="20"/>
          <w:color w:val="auto"/>
        </w:rPr>
      </w:pPr>
      <w:r>
        <w:rPr>
          <w:rFonts w:ascii="Times New Roman" w:cs="Times New Roman" w:eastAsia="Times New Roman" w:hAnsi="Times New Roman"/>
          <w:sz w:val="18"/>
          <w:szCs w:val="18"/>
          <w:color w:val="auto"/>
        </w:rPr>
        <w:t>and Middle East markets.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Rate</w:t>
      </w:r>
    </w:p>
    <w:p>
      <w:pPr>
        <w:spacing w:after="0" w:line="233" w:lineRule="exact"/>
        <w:rPr>
          <w:sz w:val="20"/>
          <w:szCs w:val="20"/>
          <w:color w:val="auto"/>
        </w:rPr>
      </w:pPr>
    </w:p>
    <w:p>
      <w:pPr>
        <w:ind w:right="40"/>
        <w:spacing w:after="0" w:line="204" w:lineRule="auto"/>
        <w:rPr>
          <w:sz w:val="20"/>
          <w:szCs w:val="20"/>
          <w:color w:val="auto"/>
        </w:rPr>
      </w:pPr>
      <w:r>
        <w:rPr>
          <w:rFonts w:ascii="Times New Roman" w:cs="Times New Roman" w:eastAsia="Times New Roman" w:hAnsi="Times New Roman"/>
          <w:sz w:val="18"/>
          <w:szCs w:val="18"/>
          <w:color w:val="auto"/>
        </w:rPr>
        <w:t>The effective tax rate was 12.1% in the second quarter. On an adjusted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basis, the effective tax rate was 13.9%. The adjusted tax rate was derived by re-computing the quarterly effective tax rate on adjusted net income</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The adjusted tax expense differs from the GAAP tax expense based on the taxability or deductibility and tax rate applied to each of the adjustments.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AECOM is hosting a conference call tomorrow at 8 a.m. Eastern Time, during which management will make a brief presentation focusing on the Company's results, strategy and operating trends, and outlook. Interested parties can listen to the conference call and view accompanying slides via webcast at </w:t>
      </w:r>
      <w:r>
        <w:rPr>
          <w:rFonts w:ascii="Times New Roman" w:cs="Times New Roman" w:eastAsia="Times New Roman" w:hAnsi="Times New Roman"/>
          <w:sz w:val="18"/>
          <w:szCs w:val="18"/>
          <w:u w:val="single" w:color="auto"/>
          <w:color w:val="auto"/>
        </w:rPr>
        <w:t>https://investors.aecom.com</w:t>
      </w:r>
      <w:r>
        <w:rPr>
          <w:rFonts w:ascii="Times New Roman" w:cs="Times New Roman" w:eastAsia="Times New Roman" w:hAnsi="Times New Roman"/>
          <w:sz w:val="18"/>
          <w:szCs w:val="18"/>
          <w:color w:val="auto"/>
        </w:rPr>
        <w:t>. The webcast will be available for replay following the call.</w:t>
      </w:r>
    </w:p>
    <w:p>
      <w:pPr>
        <w:spacing w:after="0" w:line="106"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 less pass-through revenue; growth rates are presented on a constant-currency basis, unless otherwise noted.</w:t>
      </w:r>
    </w:p>
    <w:p>
      <w:pPr>
        <w:spacing w:after="0" w:line="22" w:lineRule="exact"/>
        <w:rPr>
          <w:sz w:val="20"/>
          <w:szCs w:val="20"/>
          <w:color w:val="auto"/>
        </w:rPr>
      </w:pPr>
    </w:p>
    <w:p>
      <w:pPr>
        <w:ind w:right="580" w:firstLine="8"/>
        <w:spacing w:after="0" w:line="195" w:lineRule="auto"/>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Excludes the impact of certain items, such as restructuring costs, amortization of intangible assets, non-core AECOM Capital and other items. See Regulation G Information for a reconciliation of non-GAAP measures to the comparable GAAP measures.</w:t>
      </w:r>
    </w:p>
    <w:p>
      <w:pPr>
        <w:spacing w:after="0" w:line="1" w:lineRule="exact"/>
        <w:rPr>
          <w:rFonts w:ascii="Times New Roman" w:cs="Times New Roman" w:eastAsia="Times New Roman" w:hAnsi="Times New Roman"/>
          <w:sz w:val="30"/>
          <w:szCs w:val="30"/>
          <w:color w:val="auto"/>
          <w:vertAlign w:val="superscript"/>
        </w:rPr>
      </w:pPr>
    </w:p>
    <w:p>
      <w:pPr>
        <w:ind w:right="1180"/>
        <w:spacing w:after="0" w:line="199"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Reflects segment operating performance, excluding AECOM Capital and G&amp;A, and margins are presented on a net service revenue basis. </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Adjusted EBITDA margin includes non-controlling interests in EBITDA and is on a net service revenue basis.</w:t>
      </w:r>
    </w:p>
    <w:p>
      <w:pPr>
        <w:spacing w:after="0" w:line="2" w:lineRule="exact"/>
        <w:rPr>
          <w:rFonts w:ascii="Times New Roman" w:cs="Times New Roman" w:eastAsia="Times New Roman" w:hAnsi="Times New Roman"/>
          <w:sz w:val="30"/>
          <w:szCs w:val="30"/>
          <w:color w:val="auto"/>
          <w:vertAlign w:val="superscript"/>
        </w:rPr>
      </w:pP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6"/>
          <w:szCs w:val="16"/>
          <w:color w:val="auto"/>
        </w:rPr>
        <w:t xml:space="preserve"> Net income before interest expense, tax expense, depreciation and amortization.</w:t>
      </w:r>
    </w:p>
    <w:p>
      <w:pPr>
        <w:spacing w:after="0" w:line="21" w:lineRule="exact"/>
        <w:rPr>
          <w:sz w:val="20"/>
          <w:szCs w:val="20"/>
          <w:color w:val="auto"/>
        </w:rPr>
      </w:pPr>
    </w:p>
    <w:p>
      <w:pPr>
        <w:ind w:right="600" w:firstLine="8"/>
        <w:spacing w:after="0" w:line="195" w:lineRule="auto"/>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Backlog represents the total value of work for which AECOM has been selected that is expected to be completed by consolidated subsidiaries and includes the proportionate share of work expected to be performed by unconsolidated joint ventures.</w:t>
      </w:r>
    </w:p>
    <w:p>
      <w:pPr>
        <w:spacing w:after="0" w:line="24" w:lineRule="exact"/>
        <w:rPr>
          <w:sz w:val="20"/>
          <w:szCs w:val="20"/>
          <w:color w:val="auto"/>
        </w:rPr>
      </w:pPr>
    </w:p>
    <w:p>
      <w:pPr>
        <w:ind w:right="60" w:firstLine="8"/>
        <w:spacing w:after="0" w:line="195" w:lineRule="auto"/>
        <w:tabs>
          <w:tab w:leader="none" w:pos="12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Book-to-burn ratio is defined as the dollar amount of wins divided by revenue recognized during the period, including revenue related to work performed in unconsolidated joint ventures.</w:t>
      </w:r>
    </w:p>
    <w:p>
      <w:pPr>
        <w:spacing w:after="0" w:line="24" w:lineRule="exact"/>
        <w:rPr>
          <w:sz w:val="20"/>
          <w:szCs w:val="20"/>
          <w:color w:val="auto"/>
        </w:rPr>
      </w:pPr>
    </w:p>
    <w:p>
      <w:pPr>
        <w:ind w:right="20" w:firstLine="8"/>
        <w:spacing w:after="0" w:line="195" w:lineRule="auto"/>
        <w:tabs>
          <w:tab w:leader="none" w:pos="1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Free cash flow is defined as cash flow from operations less capital expenditures, net of proceeds from disposals of property and equipment; free cash flow conversion is defined as free cash flow divided by adjusted net income attributable to AECOM.</w:t>
      </w:r>
    </w:p>
    <w:p>
      <w:pPr>
        <w:spacing w:after="0" w:line="24" w:lineRule="exact"/>
        <w:rPr>
          <w:sz w:val="20"/>
          <w:szCs w:val="20"/>
          <w:color w:val="auto"/>
        </w:rPr>
      </w:pPr>
    </w:p>
    <w:p>
      <w:pPr>
        <w:ind w:right="760" w:firstLine="8"/>
        <w:spacing w:after="0" w:line="195" w:lineRule="auto"/>
        <w:tabs>
          <w:tab w:leader="none" w:pos="1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leverage is comprised of EBITDA as defined in the Company’s credit agreement dated October 17, 2014, as amended, and total debt on the Company’s financial statements, net of total cash and cash equivalents.</w:t>
      </w:r>
    </w:p>
    <w:p>
      <w:pPr>
        <w:spacing w:after="0" w:line="24" w:lineRule="exact"/>
        <w:rPr>
          <w:sz w:val="20"/>
          <w:szCs w:val="20"/>
          <w:color w:val="auto"/>
        </w:rPr>
      </w:pPr>
    </w:p>
    <w:p>
      <w:pPr>
        <w:ind w:right="180" w:firstLine="8"/>
        <w:spacing w:after="0" w:line="20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Inclusive of non-controlling interest deduction and adjusted for financing charges in interest expense, the amortization of intangible assets and is based on continuing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AECOM</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AECOM (NYSE: ACM) is the global infrastructure leader, committed to delivering a better world. As a trusted professional services firm powered by deep technical abilities, we solve our clients’ complex challenges in water, environment, energy, transportation and buildings. Our teams partner with public- and private-sector clients to create innovative, sustainable and resilient solutions throughout the project lifecycle – from advisory, planning, design and engineering to program and construction management. AECOM is a Fortune 500 firm that had revenue of $16.1 billion in fiscal year 2025. Learn more at aecom.com.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All statements in this communication other than statements of historical fact are “forward-looking statements” for purposes of federal and state securities laws, including any statements of the plans, strategies and objectives for future operations, profitability, strategic value creation, capital allocation strategy including stock repurchases, risk profile and investment strategies, and any statements regarding future economic conditions or performance, and the expected financial and operational results of AECOM. Although we believe that the expectations reflected in our forward-looking statements are reasonable, actual results could differ materially from those projected or assumed in any of our forward-looking statements. Important factors that could cause our actual results, performance and achievements, or industry results to differ materially from estimates or projections contained in our forward-looking statements include, but are not limited to, the following: our business is cyclical and vulnerable to economic downturns and client spending reductions; government shutdowns; changes in administration or other funding directives and circumstances that cause governmental agencies to modify, curtail or terminate our contracts; government contracts are subject to audits and adjustments of contractual terms; long-term government contracts are subject to uncertainties related to government contract appropriations; losses under fixed-price contracts; limited control over operations run through our joint venture entities; liability for misconduct by our employees or consultants; changes in government laws, regulations and policies, including failure to comply with laws or regulations applicable to our business; maintaining adequate surety and financial capacity; potential high leverage and inability to service our debt and guarantees; our capital allocation strategy, including our ability to continue payment of dividends and purchase stock; exposure to political and economic risks in different countries, including tariffs and trade policies, geopolitical events, and conflicts; inflation, currency exchange rates and interest rate fluctuations; changes in capital markets and stock market volatility; retaining and recruiting key technical and management personnel; legal claims and litigation; inadequate insurance coverage; environmental law compliance and inadequate nuclear indemnification; unexpected adjustments and cancellations related to our backlog; partners and third parties who may fail to satisfy their legal obligations; managing pension costs; AECOM Capital real estate development; cybersecurity issues, IT outages and data privacy; risks associated with the benefits and costs of the sale of our Management Services and self-perform at-risk civil infrastructure, power construction and oil and gas construction businesses, including the risk that any purchase adjustments from those transactions could be unfavorable and any future proceeds owed to us as part of the transactions could be lower than we expect; risks associated with our strategic initiatives, including AI investments and potential acquisitions and divestitures; as well as other additional risks and factors that could cause actual results to differ materially from our forward-looking statements set forth in our reports filed with the Securities and Exchange Commission. Any forward-looking statements are made as of the date hereof. We do not intend, and undertake no obligation, to update any forward-looking statement.  </w:t>
      </w:r>
    </w:p>
    <w:p>
      <w:pPr>
        <w:sectPr>
          <w:pgSz w:w="11900" w:h="16838" w:orient="portrait"/>
          <w:cols w:equalWidth="0" w:num="1">
            <w:col w:w="11240"/>
          </w:cols>
          <w:pgMar w:left="320" w:top="908" w:right="339" w:bottom="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communication contains financial information calculated other than in accordance with U.S. generally accepted accounting principles (“GAAP”). The Company believes that non-GAAP financial measures such as adjusted EPS, adjusted EBITDA, adjusted EBITDA margin, adjusted net/operating income, segment adjusted operating margin, adjusted tax rate, net service revenue and free cash flow provide a meaningful perspective on its business results as the Company utilizes this information to evaluate and manage the business. We use adjusted operating income, adjusted net income, adjusted EBITDA, adjusted EBITDA margin, and adjusted EPS to exclude the impact of certain items, such as amortization expense and taxes to aid investors in better understanding our core performance results. We use free cash flow to present the cash generated from operations after capital expenditures to maintain our business. We present net service revenue (NSR) to exclude pass-through subcontractor costs from revenue to provide investors with a better understanding of our operational performance. We present segment adjusted operating margin to reflect segment operating performance of our Americas and International segments, excluding AECOM Capital.  We present adjusted tax rate to reflect the tax rate on adjusted earnings. We also use constant-currency growth rates where appropriate, which are calculated by conforming the current period results to the comparable period exchange rates.</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non-GAAP disclosure has limitations as an analytical tool, should not be viewed as a substitute for financial information determined in accordance with GAAP, and should not be considered in isolation or as a substitute for analysis of our results as reported under GAAP, nor is it necessarily comparable to non-GAAP performance measures that may be presented by other companies. A reconciliation of these non-GAAP measures is found in the Regulation G Information tables at the back of this communication. The Company is unable to reconcile certain of its non-GAAP financial guidance and long-term financial targets due to uncertainties in these non-operating items as well as other adjustments to net income. The Company is unable to provide a reconciliation of its guidance for NSR to GAAP revenue because it is unable to predict with reasonable certainty its pass-through revenue. In addition, the Company is unable to provide a reconciliation of its guidance for financial metrics excluding the Construction Management business due to uncertainties in these non-operating items as well as other adjustments to these measures.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AECOM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840" w:type="dxa"/>
            <w:vAlign w:val="bottom"/>
          </w:tcPr>
          <w:p>
            <w:pPr>
              <w:spacing w:after="0"/>
              <w:rPr>
                <w:sz w:val="16"/>
                <w:szCs w:val="16"/>
                <w:color w:val="auto"/>
              </w:rPr>
            </w:pPr>
          </w:p>
        </w:tc>
        <w:tc>
          <w:tcPr>
            <w:tcW w:w="1220" w:type="dxa"/>
            <w:vAlign w:val="bottom"/>
            <w:gridSpan w:val="3"/>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4"/>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90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6"/>
                <w:szCs w:val="16"/>
                <w:color w:val="auto"/>
              </w:rPr>
            </w:pPr>
          </w:p>
        </w:tc>
        <w:tc>
          <w:tcPr>
            <w:tcW w:w="1200" w:type="dxa"/>
            <w:vAlign w:val="bottom"/>
            <w:gridSpan w:val="3"/>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gridSpan w:val="4"/>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3,801,143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3,771,613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7,631,977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7,785,765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3,504,643</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3,480,852</w:t>
            </w:r>
          </w:p>
        </w:tc>
        <w:tc>
          <w:tcPr>
            <w:tcW w:w="100" w:type="dxa"/>
            <w:vAlign w:val="bottom"/>
          </w:tcPr>
          <w:p>
            <w:pPr>
              <w:spacing w:after="0"/>
              <w:rPr>
                <w:sz w:val="19"/>
                <w:szCs w:val="19"/>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9"/>
                <w:szCs w:val="19"/>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7,054,487</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7,226,600</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296,500</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290,761</w:t>
            </w: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577,490</w:t>
            </w:r>
          </w:p>
        </w:tc>
        <w:tc>
          <w:tcPr>
            <w:tcW w:w="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559,165</w:t>
            </w:r>
          </w:p>
        </w:tc>
        <w:tc>
          <w:tcPr>
            <w:tcW w:w="2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9,122</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18,949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16,417</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(44,301)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(40,054)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(85,140)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(80,513)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acquisition costs</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(13,565)</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(41,498)</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247,756</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257,571</w:t>
            </w: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469,801</w:t>
            </w:r>
          </w:p>
        </w:tc>
        <w:tc>
          <w:tcPr>
            <w:tcW w:w="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495,069</w:t>
            </w:r>
          </w:p>
        </w:tc>
        <w:tc>
          <w:tcPr>
            <w:tcW w:w="2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18,456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13,712</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14,530</w:t>
            </w:r>
          </w:p>
        </w:tc>
        <w:tc>
          <w:tcPr>
            <w:tcW w:w="10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27,453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31,094</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(50,570)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(42,205)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(95,836)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(85,239)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 before taxes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221,535</w:t>
            </w:r>
          </w:p>
        </w:tc>
        <w:tc>
          <w:tcPr>
            <w:tcW w:w="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221,148</w:t>
            </w:r>
          </w:p>
        </w:tc>
        <w:tc>
          <w:tcPr>
            <w:tcW w:w="2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419,874</w:t>
            </w:r>
          </w:p>
        </w:tc>
        <w:tc>
          <w:tcPr>
            <w:tcW w:w="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439,100</w:t>
            </w:r>
          </w:p>
        </w:tc>
        <w:tc>
          <w:tcPr>
            <w:tcW w:w="2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for continuing operations</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26,841</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51,238</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65,924</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80,470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194,694</w:t>
            </w:r>
          </w:p>
        </w:tc>
        <w:tc>
          <w:tcPr>
            <w:tcW w:w="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169,910</w:t>
            </w:r>
          </w:p>
        </w:tc>
        <w:tc>
          <w:tcPr>
            <w:tcW w:w="2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353,950</w:t>
            </w:r>
          </w:p>
        </w:tc>
        <w:tc>
          <w:tcPr>
            <w:tcW w:w="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358,630</w:t>
            </w:r>
          </w:p>
        </w:tc>
        <w:tc>
          <w:tcPr>
            <w:tcW w:w="2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(4,246)</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(70,150)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(19,886)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190,448</w:t>
            </w:r>
          </w:p>
        </w:tc>
        <w:tc>
          <w:tcPr>
            <w:tcW w:w="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159,540</w:t>
            </w:r>
          </w:p>
        </w:tc>
        <w:tc>
          <w:tcPr>
            <w:tcW w:w="2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283,800</w:t>
            </w:r>
          </w:p>
        </w:tc>
        <w:tc>
          <w:tcPr>
            <w:tcW w:w="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338,744</w:t>
            </w:r>
          </w:p>
        </w:tc>
        <w:tc>
          <w:tcPr>
            <w:tcW w:w="2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(10,588)</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(15,812)</w:t>
            </w:r>
          </w:p>
        </w:tc>
        <w:tc>
          <w:tcPr>
            <w:tcW w:w="100" w:type="dxa"/>
            <w:vAlign w:val="bottom"/>
          </w:tcPr>
          <w:p>
            <w:pPr>
              <w:spacing w:after="0"/>
              <w:rPr>
                <w:sz w:val="20"/>
                <w:szCs w:val="20"/>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(29,420)</w:t>
            </w: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(27,182)</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4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(10,588)</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(16,146)</w:t>
            </w:r>
          </w:p>
        </w:tc>
        <w:tc>
          <w:tcPr>
            <w:tcW w:w="100" w:type="dxa"/>
            <w:vAlign w:val="bottom"/>
          </w:tcPr>
          <w:p>
            <w:pPr>
              <w:spacing w:after="0"/>
              <w:rPr>
                <w:sz w:val="20"/>
                <w:szCs w:val="20"/>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(29,420)</w:t>
            </w: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(28,308)</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AECOM from</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184,106</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154,098</w:t>
            </w:r>
          </w:p>
        </w:tc>
        <w:tc>
          <w:tcPr>
            <w:tcW w:w="100" w:type="dxa"/>
            <w:vAlign w:val="bottom"/>
          </w:tcPr>
          <w:p>
            <w:pPr>
              <w:spacing w:after="0"/>
              <w:rPr>
                <w:sz w:val="20"/>
                <w:szCs w:val="20"/>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20"/>
                <w:szCs w:val="20"/>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324,530</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331,448</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AECOM from discontinued</w:t>
            </w: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(4,246)</w:t>
            </w:r>
          </w:p>
        </w:tc>
        <w:tc>
          <w:tcPr>
            <w:tcW w:w="1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(10,704)</w:t>
            </w:r>
          </w:p>
        </w:tc>
        <w:tc>
          <w:tcPr>
            <w:tcW w:w="1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(60.3)%</w:t>
            </w:r>
          </w:p>
        </w:tc>
        <w:tc>
          <w:tcPr>
            <w:tcW w:w="1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(70,150)</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(21,012)</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AECOM</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179,860</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143,394</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254,380</w:t>
            </w:r>
          </w:p>
        </w:tc>
        <w:tc>
          <w:tcPr>
            <w:tcW w:w="2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310,436</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197"/>
        </w:trPr>
        <w:tc>
          <w:tcPr>
            <w:tcW w:w="3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AECOM per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continuing operations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discontinued operations per share</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continuing operations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discontinued operations per share</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(0.53)</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128,728</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132,432</w:t>
            </w:r>
          </w:p>
        </w:tc>
        <w:tc>
          <w:tcPr>
            <w:tcW w:w="10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129,808</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132,466</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129,235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133,139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130,609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648"/>
        </w:trPr>
        <w:tc>
          <w:tcPr>
            <w:tcW w:w="3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AECOM</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(unaudited -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48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8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Sheet Information:</w:t>
            </w:r>
          </w:p>
        </w:tc>
        <w:tc>
          <w:tcPr>
            <w:tcW w:w="3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1,034,257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1,585,739</w:t>
            </w:r>
          </w:p>
        </w:tc>
      </w:tr>
      <w:tr>
        <w:trPr>
          <w:trHeight w:val="216"/>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 and contract assets – net</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4,628,940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4,282,326</w:t>
            </w:r>
          </w:p>
        </w:tc>
      </w:tr>
      <w:tr>
        <w:trPr>
          <w:trHeight w:val="216"/>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Working capital</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618,264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801,411</w:t>
            </w:r>
          </w:p>
        </w:tc>
      </w:tr>
      <w:tr>
        <w:trPr>
          <w:trHeight w:val="216"/>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debt, excluding unamortized debt issuance costs</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2,747,720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2,743,719</w:t>
            </w:r>
          </w:p>
        </w:tc>
      </w:tr>
      <w:tr>
        <w:trPr>
          <w:trHeight w:val="216"/>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12,007,347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12,200,249</w:t>
            </w:r>
          </w:p>
        </w:tc>
      </w:tr>
      <w:tr>
        <w:trPr>
          <w:trHeight w:val="216"/>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AECOM stockholders’ equity</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2,270,592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2,492,584</w:t>
            </w:r>
          </w:p>
        </w:tc>
      </w:tr>
      <w:tr>
        <w:trPr>
          <w:trHeight w:val="648"/>
        </w:trPr>
        <w:tc>
          <w:tcPr>
            <w:tcW w:w="48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jc w:val="right"/>
              <w:ind w:right="22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AECOM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AECOM</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3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International</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2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2,911,571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889,572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3,801,143</w:t>
            </w:r>
          </w:p>
        </w:tc>
      </w:tr>
      <w:tr>
        <w:trPr>
          <w:trHeight w:val="22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2,688,473</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816,170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3,504,643</w:t>
            </w:r>
          </w:p>
        </w:tc>
      </w:tr>
      <w:tr>
        <w:trPr>
          <w:trHeight w:val="21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223,098</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296,500</w:t>
            </w:r>
          </w:p>
        </w:tc>
        <w:tc>
          <w:tcPr>
            <w:tcW w:w="16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4,841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9,122</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(2,238)</w:t>
            </w:r>
          </w:p>
        </w:tc>
        <w:tc>
          <w:tcPr>
            <w:tcW w:w="16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(42,063)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(44,301)</w:t>
            </w:r>
          </w:p>
        </w:tc>
      </w:tr>
      <w:tr>
        <w:trPr>
          <w:trHeight w:val="22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acquisition costs</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(13,565)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(13,565)</w:t>
            </w:r>
          </w:p>
        </w:tc>
      </w:tr>
      <w:tr>
        <w:trPr>
          <w:trHeight w:val="263"/>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227,939</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76,985</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247,756</w:t>
            </w:r>
          </w:p>
        </w:tc>
        <w:tc>
          <w:tcPr>
            <w:tcW w:w="160" w:type="dxa"/>
            <w:vAlign w:val="bottom"/>
            <w:tcBorders>
              <w:bottom w:val="single" w:sz="8" w:color="CCEEFF"/>
            </w:tcBorders>
          </w:tcPr>
          <w:p>
            <w:pPr>
              <w:spacing w:after="0"/>
              <w:rPr>
                <w:sz w:val="22"/>
                <w:szCs w:val="22"/>
                <w:color w:val="auto"/>
              </w:rPr>
            </w:pPr>
          </w:p>
        </w:tc>
      </w:tr>
      <w:tr>
        <w:trPr>
          <w:trHeight w:val="197"/>
        </w:trPr>
        <w:tc>
          <w:tcPr>
            <w:tcW w:w="3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 of revenue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2,896,772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874,733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3,771,613</w:t>
            </w: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2,684,279</w:t>
            </w: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796,573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3,480,852</w:t>
            </w: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212,493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290,761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6,864</w:t>
            </w:r>
          </w:p>
        </w:tc>
      </w:tr>
      <w:tr>
        <w:trPr>
          <w:trHeight w:val="23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(2,807)</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(37,247)</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(40,054)</w:t>
            </w:r>
          </w:p>
        </w:tc>
      </w:tr>
      <w:tr>
        <w:trPr>
          <w:trHeight w:val="263"/>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217,354</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82,183</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257,571</w:t>
            </w:r>
          </w:p>
        </w:tc>
        <w:tc>
          <w:tcPr>
            <w:tcW w:w="160" w:type="dxa"/>
            <w:vAlign w:val="bottom"/>
            <w:tcBorders>
              <w:bottom w:val="single" w:sz="8" w:color="CCEEFF"/>
            </w:tcBorders>
          </w:tcPr>
          <w:p>
            <w:pPr>
              <w:spacing w:after="0"/>
              <w:rPr>
                <w:sz w:val="22"/>
                <w:szCs w:val="22"/>
                <w:color w:val="auto"/>
              </w:rPr>
            </w:pPr>
          </w:p>
        </w:tc>
      </w:tr>
      <w:tr>
        <w:trPr>
          <w:trHeight w:val="197"/>
        </w:trPr>
        <w:tc>
          <w:tcPr>
            <w:tcW w:w="3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 of revenue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March 31, 2026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5,888,856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1,743,121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7,631,977</w:t>
            </w: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5,456,162</w:t>
            </w: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1,598,289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7,054,487</w:t>
            </w: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432,694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577,490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9,357</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8,175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1,417</w:t>
            </w: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18,949</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(4,037)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(81,103)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(85,140)</w:t>
            </w:r>
          </w:p>
        </w:tc>
      </w:tr>
      <w:tr>
        <w:trPr>
          <w:trHeight w:val="22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acquisition costs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(41,498)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(41,498)</w:t>
            </w:r>
          </w:p>
        </w:tc>
      </w:tr>
      <w:tr>
        <w:trPr>
          <w:trHeight w:val="223"/>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442,051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a % of revenue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3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Contracted backlog</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8,977,642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4,845,210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13,822,852</w:t>
            </w: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Awarded backlog</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9,122,890</w:t>
            </w: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3,257,814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12,380,704</w:t>
            </w:r>
          </w:p>
        </w:tc>
      </w:tr>
      <w:tr>
        <w:trPr>
          <w:trHeight w:val="223"/>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18,100,532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8,103,024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26,203,556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backlog – Design only</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16,561,215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8,103,024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24,664,239</w:t>
            </w:r>
          </w:p>
        </w:tc>
      </w:tr>
      <w:tr>
        <w:trPr>
          <w:trHeight w:val="216"/>
        </w:trPr>
        <w:tc>
          <w:tcPr>
            <w:tcW w:w="3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March 31, 2025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6,008,727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1,776,743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7,785,765</w:t>
            </w: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5,605,974</w:t>
            </w: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1,620,626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7,226,600</w:t>
            </w: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402,753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559,165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(losses) of joint ventures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10,373</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6,904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16,417</w:t>
            </w:r>
          </w:p>
        </w:tc>
      </w:tr>
      <w:tr>
        <w:trPr>
          <w:trHeight w:val="22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(5,202)</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(75,311)</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(80,513)</w:t>
            </w:r>
          </w:p>
        </w:tc>
      </w:tr>
      <w:tr>
        <w:trPr>
          <w:trHeight w:val="263"/>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413,126</w:t>
            </w:r>
          </w:p>
        </w:tc>
        <w:tc>
          <w:tcPr>
            <w:tcW w:w="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163,021</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495,069</w:t>
            </w:r>
          </w:p>
        </w:tc>
        <w:tc>
          <w:tcPr>
            <w:tcW w:w="160" w:type="dxa"/>
            <w:vAlign w:val="bottom"/>
            <w:tcBorders>
              <w:bottom w:val="single" w:sz="8" w:color="CCEEFF"/>
            </w:tcBorders>
          </w:tcPr>
          <w:p>
            <w:pPr>
              <w:spacing w:after="0"/>
              <w:rPr>
                <w:sz w:val="22"/>
                <w:szCs w:val="22"/>
                <w:color w:val="auto"/>
              </w:rPr>
            </w:pPr>
          </w:p>
        </w:tc>
      </w:tr>
      <w:tr>
        <w:trPr>
          <w:trHeight w:val="196"/>
        </w:trPr>
        <w:tc>
          <w:tcPr>
            <w:tcW w:w="3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 of revenue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Contracted backlog</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8,854,297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4,475,858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13,330,155</w:t>
            </w:r>
          </w:p>
        </w:tc>
      </w:tr>
      <w:tr>
        <w:trPr>
          <w:trHeight w:val="22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Awarded backlog</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8,930,751</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2,007,993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10,938,744</w:t>
            </w:r>
          </w:p>
        </w:tc>
      </w:tr>
      <w:tr>
        <w:trPr>
          <w:trHeight w:val="210"/>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17,785,048</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6,483,851</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24,268,899</w:t>
            </w:r>
          </w:p>
        </w:tc>
        <w:tc>
          <w:tcPr>
            <w:tcW w:w="160" w:type="dxa"/>
            <w:vAlign w:val="bottom"/>
            <w:tcBorders>
              <w:bottom w:val="single" w:sz="8" w:color="CCEEFF"/>
            </w:tcBorders>
          </w:tcPr>
          <w:p>
            <w:pPr>
              <w:spacing w:after="0"/>
              <w:rPr>
                <w:sz w:val="18"/>
                <w:szCs w:val="18"/>
                <w:color w:val="auto"/>
              </w:rPr>
            </w:pPr>
          </w:p>
        </w:tc>
      </w:tr>
      <w:tr>
        <w:trPr>
          <w:trHeight w:val="209"/>
        </w:trPr>
        <w:tc>
          <w:tcPr>
            <w:tcW w:w="3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backlog – Design only</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16,458,797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6,483,851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22,942,648</w:t>
            </w:r>
          </w:p>
        </w:tc>
      </w:tr>
      <w:tr>
        <w:trPr>
          <w:trHeight w:val="630"/>
        </w:trPr>
        <w:tc>
          <w:tcPr>
            <w:tcW w:w="3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162"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AECOM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 G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80" w:type="dxa"/>
            <w:vAlign w:val="bottom"/>
            <w:gridSpan w:val="7"/>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Reconciliation of Revenue to Net Service Revenue (NSR)</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4"/>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5"/>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4"/>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4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Americas</w:t>
            </w:r>
          </w:p>
        </w:tc>
        <w:tc>
          <w:tcPr>
            <w:tcW w:w="2840" w:type="dxa"/>
            <w:vAlign w:val="bottom"/>
            <w:tcBorders>
              <w:bottom w:val="single" w:sz="8" w:color="CCEEFF"/>
            </w:tcBorders>
            <w:gridSpan w:val="3"/>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2,911.6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2,977.3</w:t>
            </w:r>
          </w:p>
        </w:tc>
        <w:tc>
          <w:tcPr>
            <w:tcW w:w="54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2,896.7</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5,888.9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6,008.7</w:t>
            </w:r>
          </w:p>
        </w:tc>
        <w:tc>
          <w:tcPr>
            <w:tcW w:w="0" w:type="dxa"/>
            <w:vAlign w:val="bottom"/>
          </w:tcPr>
          <w:p>
            <w:pPr>
              <w:spacing w:after="0"/>
              <w:rPr>
                <w:sz w:val="1"/>
                <w:szCs w:val="1"/>
                <w:color w:val="auto"/>
              </w:rPr>
            </w:pPr>
          </w:p>
        </w:tc>
      </w:tr>
      <w:tr>
        <w:trPr>
          <w:trHeight w:val="230"/>
        </w:trPr>
        <w:tc>
          <w:tcPr>
            <w:tcW w:w="35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Pass-through revenue</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1,717.3</w:t>
            </w:r>
          </w:p>
        </w:tc>
        <w:tc>
          <w:tcPr>
            <w:tcW w:w="2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1,862.6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3,579.9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3,833.1</w:t>
            </w: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Net service revenue</w:t>
            </w:r>
          </w:p>
        </w:tc>
        <w:tc>
          <w:tcPr>
            <w:tcW w:w="5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2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2,309.0</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International</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889.6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853.5</w:t>
            </w:r>
          </w:p>
        </w:tc>
        <w:tc>
          <w:tcPr>
            <w:tcW w:w="54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874.8</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1,743.1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1,776.8</w:t>
            </w:r>
          </w:p>
        </w:tc>
        <w:tc>
          <w:tcPr>
            <w:tcW w:w="0" w:type="dxa"/>
            <w:vAlign w:val="bottom"/>
          </w:tcPr>
          <w:p>
            <w:pPr>
              <w:spacing w:after="0"/>
              <w:rPr>
                <w:sz w:val="1"/>
                <w:szCs w:val="1"/>
                <w:color w:val="auto"/>
              </w:rPr>
            </w:pPr>
          </w:p>
        </w:tc>
      </w:tr>
      <w:tr>
        <w:trPr>
          <w:trHeight w:val="229"/>
        </w:trPr>
        <w:tc>
          <w:tcPr>
            <w:tcW w:w="3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Less: Pass-through revenue</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135.5</w:t>
            </w:r>
          </w:p>
        </w:tc>
        <w:tc>
          <w:tcPr>
            <w:tcW w:w="220" w:type="dxa"/>
            <w:vAlign w:val="bottom"/>
          </w:tcPr>
          <w:p>
            <w:pPr>
              <w:spacing w:after="0"/>
              <w:rPr>
                <w:sz w:val="19"/>
                <w:szCs w:val="19"/>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117.3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132.5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1,490.3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Segment Performance (excludes ACAP)</w:t>
            </w:r>
          </w:p>
        </w:tc>
        <w:tc>
          <w:tcPr>
            <w:tcW w:w="5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3,801.2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3,830.8</w:t>
            </w:r>
          </w:p>
        </w:tc>
        <w:tc>
          <w:tcPr>
            <w:tcW w:w="54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3,771.5</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7,632.0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7,785.5</w:t>
            </w:r>
          </w:p>
        </w:tc>
        <w:tc>
          <w:tcPr>
            <w:tcW w:w="0" w:type="dxa"/>
            <w:vAlign w:val="bottom"/>
          </w:tcPr>
          <w:p>
            <w:pPr>
              <w:spacing w:after="0"/>
              <w:rPr>
                <w:sz w:val="1"/>
                <w:szCs w:val="1"/>
                <w:color w:val="auto"/>
              </w:rPr>
            </w:pPr>
          </w:p>
        </w:tc>
      </w:tr>
      <w:tr>
        <w:trPr>
          <w:trHeight w:val="229"/>
        </w:trPr>
        <w:tc>
          <w:tcPr>
            <w:tcW w:w="35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Pass-through revenue</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1,852.8</w:t>
            </w:r>
          </w:p>
        </w:tc>
        <w:tc>
          <w:tcPr>
            <w:tcW w:w="2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1,979.9</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3,832.7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4,117.4</w:t>
            </w: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Net service revenue</w:t>
            </w:r>
          </w:p>
        </w:tc>
        <w:tc>
          <w:tcPr>
            <w:tcW w:w="5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2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1,850.9</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6"/>
              </w:rPr>
              <w:t>3,799.3</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3,801.2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3,830.8</w:t>
            </w:r>
          </w:p>
        </w:tc>
        <w:tc>
          <w:tcPr>
            <w:tcW w:w="54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3,771.6</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7,632.0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7,785.8</w:t>
            </w:r>
          </w:p>
        </w:tc>
        <w:tc>
          <w:tcPr>
            <w:tcW w:w="0" w:type="dxa"/>
            <w:vAlign w:val="bottom"/>
          </w:tcPr>
          <w:p>
            <w:pPr>
              <w:spacing w:after="0"/>
              <w:rPr>
                <w:sz w:val="1"/>
                <w:szCs w:val="1"/>
                <w:color w:val="auto"/>
              </w:rPr>
            </w:pPr>
          </w:p>
        </w:tc>
      </w:tr>
      <w:tr>
        <w:trPr>
          <w:trHeight w:val="230"/>
        </w:trPr>
        <w:tc>
          <w:tcPr>
            <w:tcW w:w="3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Less: Pass-through revenue</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1,852.8</w:t>
            </w:r>
          </w:p>
        </w:tc>
        <w:tc>
          <w:tcPr>
            <w:tcW w:w="220" w:type="dxa"/>
            <w:vAlign w:val="bottom"/>
          </w:tcPr>
          <w:p>
            <w:pPr>
              <w:spacing w:after="0"/>
              <w:rPr>
                <w:sz w:val="19"/>
                <w:szCs w:val="19"/>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1,979.9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1,904.5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3,832.7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4,117.4</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3,799.3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Total Debt to Net Debt</w:t>
            </w: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580" w:type="dxa"/>
            <w:vAlign w:val="bottom"/>
            <w:gridSpan w:val="4"/>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Balances at:</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 31, 2026</w:t>
            </w:r>
          </w:p>
        </w:tc>
        <w:tc>
          <w:tcPr>
            <w:tcW w:w="200" w:type="dxa"/>
            <w:vAlign w:val="bottom"/>
          </w:tcPr>
          <w:p>
            <w:pPr>
              <w:spacing w:after="0"/>
              <w:rPr>
                <w:sz w:val="19"/>
                <w:szCs w:val="19"/>
                <w:color w:val="auto"/>
              </w:rPr>
            </w:pPr>
          </w:p>
        </w:tc>
        <w:tc>
          <w:tcPr>
            <w:tcW w:w="11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180" w:type="dxa"/>
            <w:vAlign w:val="bottom"/>
          </w:tcPr>
          <w:p>
            <w:pPr>
              <w:spacing w:after="0"/>
              <w:rPr>
                <w:sz w:val="19"/>
                <w:szCs w:val="19"/>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Mar 31, 2025</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67.1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excluding unamortized debt issuance costs</w:t>
            </w: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2,684.8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2,672.6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2,476.6</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debt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2,747.7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w w:val="96"/>
              </w:rPr>
              <w:t>2,738.5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2,546.9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Total cash and cash equivalents</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1,034.3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1,246.7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1,600.1</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debt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1,713.4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w w:val="96"/>
              </w:rPr>
              <w:t>1,491.8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w w:val="99"/>
              </w:rPr>
              <w:t>Reconciliation of Net Cash Provided by Operating Activities to Free Cash Flow</w:t>
            </w:r>
          </w:p>
        </w:tc>
        <w:tc>
          <w:tcPr>
            <w:tcW w:w="7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4"/>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5"/>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4"/>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74.0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 expenditures, net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14.5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8</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AECOM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 G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40" w:type="dxa"/>
            <w:vAlign w:val="bottom"/>
            <w:gridSpan w:val="1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00" w:type="dxa"/>
            <w:vAlign w:val="bottom"/>
            <w:gridSpan w:val="2"/>
          </w:tcPr>
          <w:p>
            <w:pPr>
              <w:spacing w:after="0"/>
              <w:rPr>
                <w:sz w:val="16"/>
                <w:szCs w:val="16"/>
                <w:color w:val="auto"/>
              </w:rPr>
            </w:pPr>
          </w:p>
        </w:tc>
      </w:tr>
      <w:tr>
        <w:trPr>
          <w:trHeight w:val="238"/>
        </w:trPr>
        <w:tc>
          <w:tcPr>
            <w:tcW w:w="16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155"/>
        </w:trPr>
        <w:tc>
          <w:tcPr>
            <w:tcW w:w="4800" w:type="dxa"/>
            <w:vAlign w:val="bottom"/>
            <w:tcBorders>
              <w:bottom w:val="single" w:sz="8" w:color="auto"/>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Reconciliation of Income from Operations to Adjusted Income</w:t>
            </w:r>
          </w:p>
        </w:tc>
        <w:tc>
          <w:tcPr>
            <w:tcW w:w="4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r>
      <w:tr>
        <w:trPr>
          <w:trHeight w:val="196"/>
        </w:trPr>
        <w:tc>
          <w:tcPr>
            <w:tcW w:w="160" w:type="dxa"/>
            <w:vAlign w:val="bottom"/>
            <w:shd w:val="clear" w:color="auto" w:fill="CCEEFF"/>
          </w:tcPr>
          <w:p>
            <w:pPr>
              <w:spacing w:after="0"/>
              <w:rPr>
                <w:sz w:val="17"/>
                <w:szCs w:val="17"/>
                <w:color w:val="auto"/>
              </w:rPr>
            </w:pPr>
          </w:p>
        </w:tc>
        <w:tc>
          <w:tcPr>
            <w:tcW w:w="5040" w:type="dxa"/>
            <w:vAlign w:val="bottom"/>
            <w:gridSpan w:val="9"/>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from Operations to Adjusted EBITDA</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7"/>
        </w:trPr>
        <w:tc>
          <w:tcPr>
            <w:tcW w:w="160" w:type="dxa"/>
            <w:vAlign w:val="bottom"/>
            <w:tcBorders>
              <w:bottom w:val="single" w:sz="8" w:color="CCEEFF"/>
            </w:tcBorders>
            <w:shd w:val="clear" w:color="auto" w:fill="CCEEFF"/>
          </w:tcPr>
          <w:p>
            <w:pPr>
              <w:spacing w:after="0"/>
              <w:rPr>
                <w:sz w:val="18"/>
                <w:szCs w:val="18"/>
                <w:color w:val="auto"/>
              </w:rPr>
            </w:pPr>
          </w:p>
        </w:tc>
        <w:tc>
          <w:tcPr>
            <w:tcW w:w="4440" w:type="dxa"/>
            <w:vAlign w:val="bottom"/>
            <w:tcBorders>
              <w:bottom w:val="single" w:sz="8" w:color="auto"/>
            </w:tcBorders>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with Noncontrolling Interests (NCI) to Adjusted EBITDA</w:t>
            </w:r>
          </w:p>
        </w:tc>
        <w:tc>
          <w:tcPr>
            <w:tcW w:w="600" w:type="dxa"/>
            <w:vAlign w:val="bottom"/>
            <w:tcBorders>
              <w:bottom w:val="single" w:sz="8" w:color="CCEEFF"/>
            </w:tcBorders>
            <w:gridSpan w:val="5"/>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6"/>
        </w:trPr>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495.1</w:t>
            </w:r>
          </w:p>
        </w:tc>
        <w:tc>
          <w:tcPr>
            <w:tcW w:w="8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50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Noncore AECOM Capital loss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Restructuring and acquisition costs</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160" w:type="dxa"/>
            <w:vAlign w:val="bottom"/>
            <w:shd w:val="clear" w:color="auto" w:fill="CCEEFF"/>
          </w:tcPr>
          <w:p>
            <w:pPr>
              <w:spacing w:after="0"/>
              <w:rPr>
                <w:sz w:val="19"/>
                <w:szCs w:val="19"/>
                <w:color w:val="auto"/>
              </w:rPr>
            </w:pPr>
          </w:p>
        </w:tc>
        <w:tc>
          <w:tcPr>
            <w:tcW w:w="50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r>
      <w:tr>
        <w:trPr>
          <w:trHeight w:val="209"/>
        </w:trPr>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50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0" w:type="dxa"/>
            <w:vAlign w:val="bottom"/>
          </w:tcPr>
          <w:p>
            <w:pPr>
              <w:spacing w:after="0"/>
              <w:rPr>
                <w:sz w:val="18"/>
                <w:szCs w:val="18"/>
                <w:color w:val="auto"/>
              </w:rPr>
            </w:pPr>
          </w:p>
        </w:tc>
        <w:tc>
          <w:tcPr>
            <w:tcW w:w="50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Fair value adjustment included in other income</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r>
      <w:tr>
        <w:trPr>
          <w:trHeight w:val="229"/>
        </w:trPr>
        <w:tc>
          <w:tcPr>
            <w:tcW w:w="160" w:type="dxa"/>
            <w:vAlign w:val="bottom"/>
            <w:shd w:val="clear" w:color="auto" w:fill="CCEEFF"/>
          </w:tcPr>
          <w:p>
            <w:pPr>
              <w:spacing w:after="0"/>
              <w:rPr>
                <w:sz w:val="19"/>
                <w:szCs w:val="19"/>
                <w:color w:val="auto"/>
              </w:rPr>
            </w:pPr>
          </w:p>
        </w:tc>
        <w:tc>
          <w:tcPr>
            <w:tcW w:w="50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shd w:val="clear" w:color="auto" w:fill="CCEEFF"/>
          </w:tcPr>
          <w:p>
            <w:pPr>
              <w:spacing w:after="0"/>
              <w:rPr>
                <w:sz w:val="19"/>
                <w:szCs w:val="19"/>
                <w:color w:val="auto"/>
              </w:rPr>
            </w:pPr>
          </w:p>
        </w:tc>
      </w:tr>
      <w:tr>
        <w:trPr>
          <w:trHeight w:val="210"/>
        </w:trPr>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Adjusted EBITDA with noncontrolling interests (NCI)</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60" w:type="dxa"/>
            <w:vAlign w:val="bottom"/>
            <w:shd w:val="clear" w:color="auto" w:fill="CCEEFF"/>
          </w:tcPr>
          <w:p>
            <w:pPr>
              <w:spacing w:after="0"/>
              <w:rPr>
                <w:sz w:val="17"/>
                <w:szCs w:val="17"/>
                <w:color w:val="auto"/>
              </w:rPr>
            </w:pPr>
          </w:p>
        </w:tc>
        <w:tc>
          <w:tcPr>
            <w:tcW w:w="5040" w:type="dxa"/>
            <w:vAlign w:val="bottom"/>
            <w:gridSpan w:val="9"/>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NCI from continuing operations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160" w:type="dxa"/>
            <w:vAlign w:val="bottom"/>
            <w:shd w:val="clear" w:color="auto" w:fill="CCEEFF"/>
          </w:tcPr>
          <w:p>
            <w:pPr>
              <w:spacing w:after="0"/>
              <w:rPr>
                <w:sz w:val="21"/>
                <w:szCs w:val="21"/>
                <w:color w:val="auto"/>
              </w:rPr>
            </w:pPr>
          </w:p>
        </w:tc>
        <w:tc>
          <w:tcPr>
            <w:tcW w:w="504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excluding interest income included in NCI</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r>
      <w:tr>
        <w:trPr>
          <w:trHeight w:val="263"/>
        </w:trPr>
        <w:tc>
          <w:tcPr>
            <w:tcW w:w="5200" w:type="dxa"/>
            <w:vAlign w:val="bottom"/>
            <w:tcBorders>
              <w:bottom w:val="single" w:sz="8" w:color="CCEEFF"/>
            </w:tcBorders>
            <w:gridSpan w:val="10"/>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52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Income from Continuing Operations Before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Taxes to</w:t>
            </w:r>
          </w:p>
        </w:tc>
        <w:tc>
          <w:tcPr>
            <w:tcW w:w="3860" w:type="dxa"/>
            <w:vAlign w:val="bottom"/>
            <w:tcBorders>
              <w:top w:val="single" w:sz="8" w:color="auto"/>
            </w:tcBorders>
            <w:gridSpan w:val="4"/>
          </w:tcPr>
          <w:p>
            <w:pPr>
              <w:spacing w:after="0"/>
              <w:rPr>
                <w:sz w:val="17"/>
                <w:szCs w:val="17"/>
                <w:color w:val="auto"/>
              </w:rPr>
            </w:pPr>
          </w:p>
        </w:tc>
        <w:tc>
          <w:tcPr>
            <w:tcW w:w="50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5040" w:type="dxa"/>
            <w:vAlign w:val="bottom"/>
            <w:gridSpan w:val="9"/>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Adjusted Income from Continuing Operations Before Taxes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2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Noncore AECOM Capital loss</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50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Restructuring and acquisition costs</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50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50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Financing charges in interest expense</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r>
      <w:tr>
        <w:trPr>
          <w:trHeight w:val="223"/>
        </w:trPr>
        <w:tc>
          <w:tcPr>
            <w:tcW w:w="5200" w:type="dxa"/>
            <w:vAlign w:val="bottom"/>
            <w:tcBorders>
              <w:top w:val="single" w:sz="8" w:color="CCEEFF"/>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from continuing operations before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4720" w:type="dxa"/>
            <w:vAlign w:val="bottom"/>
            <w:tcBorders>
              <w:bottom w:val="single" w:sz="8" w:color="auto"/>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Income Taxes for Continuing Operations to</w:t>
            </w:r>
          </w:p>
        </w:tc>
        <w:tc>
          <w:tcPr>
            <w:tcW w:w="480" w:type="dxa"/>
            <w:vAlign w:val="bottom"/>
            <w:tcBorders>
              <w:bottom w:val="single" w:sz="8" w:color="CCEEFF"/>
            </w:tcBorders>
            <w:gridSpan w:val="3"/>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217"/>
        </w:trPr>
        <w:tc>
          <w:tcPr>
            <w:tcW w:w="160" w:type="dxa"/>
            <w:vAlign w:val="bottom"/>
            <w:tcBorders>
              <w:bottom w:val="single" w:sz="8" w:color="CCEEFF"/>
            </w:tcBorders>
            <w:shd w:val="clear" w:color="auto" w:fill="CCEEFF"/>
          </w:tcPr>
          <w:p>
            <w:pPr>
              <w:spacing w:after="0"/>
              <w:rPr>
                <w:sz w:val="18"/>
                <w:szCs w:val="18"/>
                <w:color w:val="auto"/>
              </w:rPr>
            </w:pPr>
          </w:p>
        </w:tc>
        <w:tc>
          <w:tcPr>
            <w:tcW w:w="3900" w:type="dxa"/>
            <w:vAlign w:val="bottom"/>
            <w:tcBorders>
              <w:bottom w:val="single" w:sz="8" w:color="auto"/>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Adjusted Income Taxes for Continuing Operations</w:t>
            </w:r>
          </w:p>
        </w:tc>
        <w:tc>
          <w:tcPr>
            <w:tcW w:w="1140" w:type="dxa"/>
            <w:vAlign w:val="bottom"/>
            <w:tcBorders>
              <w:bottom w:val="single" w:sz="8" w:color="CCEEFF"/>
            </w:tcBorders>
            <w:gridSpan w:val="6"/>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6"/>
        </w:trPr>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Income tax expense for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18"/>
                <w:szCs w:val="18"/>
                <w:color w:val="auto"/>
              </w:rPr>
            </w:pPr>
          </w:p>
        </w:tc>
      </w:tr>
      <w:tr>
        <w:trPr>
          <w:trHeight w:val="270"/>
        </w:trPr>
        <w:tc>
          <w:tcPr>
            <w:tcW w:w="160" w:type="dxa"/>
            <w:vAlign w:val="bottom"/>
            <w:shd w:val="clear" w:color="auto" w:fill="CCEEFF"/>
          </w:tcPr>
          <w:p>
            <w:pPr>
              <w:spacing w:after="0"/>
              <w:rPr>
                <w:sz w:val="23"/>
                <w:szCs w:val="23"/>
                <w:color w:val="auto"/>
              </w:rPr>
            </w:pPr>
          </w:p>
        </w:tc>
        <w:tc>
          <w:tcPr>
            <w:tcW w:w="5040" w:type="dxa"/>
            <w:vAlign w:val="bottom"/>
            <w:gridSpan w:val="9"/>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Tax effect of the above adjustments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valuation allowance</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3"/>
                <w:szCs w:val="23"/>
                <w:color w:val="auto"/>
              </w:rPr>
            </w:pPr>
          </w:p>
        </w:tc>
      </w:tr>
      <w:tr>
        <w:trPr>
          <w:trHeight w:val="223"/>
        </w:trPr>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Adjusted income tax expense for continuing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Adjusts the income taxes during the period to exclude the impact on our effective tax rate of the pre-tax adjustments shown above.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AECOM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 G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600" w:type="dxa"/>
            <w:vAlign w:val="bottom"/>
            <w:gridSpan w:val="9"/>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1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00" w:type="dxa"/>
            <w:vAlign w:val="bottom"/>
          </w:tcPr>
          <w:p>
            <w:pPr>
              <w:spacing w:after="0"/>
              <w:rPr>
                <w:sz w:val="16"/>
                <w:szCs w:val="16"/>
                <w:color w:val="auto"/>
              </w:rPr>
            </w:pPr>
          </w:p>
        </w:tc>
      </w:tr>
      <w:tr>
        <w:trPr>
          <w:trHeight w:val="238"/>
        </w:trPr>
        <w:tc>
          <w:tcPr>
            <w:tcW w:w="16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155"/>
        </w:trPr>
        <w:tc>
          <w:tcPr>
            <w:tcW w:w="520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Reconciliation of Net Income Attributable to AECOM from</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860" w:type="dxa"/>
            <w:vAlign w:val="bottom"/>
            <w:tcBorders>
              <w:bottom w:val="single" w:sz="8" w:color="auto"/>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Continuing Operations to Adjusted Net Income Attributable to</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160" w:type="dxa"/>
            <w:vAlign w:val="bottom"/>
            <w:shd w:val="clear" w:color="auto" w:fill="CCEEFF"/>
          </w:tcPr>
          <w:p>
            <w:pPr>
              <w:spacing w:after="0"/>
              <w:rPr>
                <w:sz w:val="17"/>
                <w:szCs w:val="17"/>
                <w:color w:val="auto"/>
              </w:rPr>
            </w:pPr>
          </w:p>
        </w:tc>
        <w:tc>
          <w:tcPr>
            <w:tcW w:w="5040" w:type="dxa"/>
            <w:vAlign w:val="bottom"/>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AECOM from Continuing Operations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auto"/>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income attributable to AECOM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331.4</w:t>
            </w:r>
          </w:p>
        </w:tc>
      </w:tr>
      <w:tr>
        <w:trPr>
          <w:trHeight w:val="216"/>
        </w:trPr>
        <w:tc>
          <w:tcPr>
            <w:tcW w:w="160" w:type="dxa"/>
            <w:vAlign w:val="bottom"/>
            <w:shd w:val="clear" w:color="auto" w:fill="CCEEFF"/>
          </w:tcPr>
          <w:p>
            <w:pPr>
              <w:spacing w:after="0"/>
              <w:rPr>
                <w:sz w:val="18"/>
                <w:szCs w:val="18"/>
                <w:color w:val="auto"/>
              </w:rPr>
            </w:pPr>
          </w:p>
        </w:tc>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Noncore AECOM Capital loss, net of NCI</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60" w:type="dxa"/>
            <w:vAlign w:val="bottom"/>
          </w:tcPr>
          <w:p>
            <w:pPr>
              <w:spacing w:after="0"/>
              <w:rPr>
                <w:sz w:val="18"/>
                <w:szCs w:val="18"/>
                <w:color w:val="auto"/>
              </w:rPr>
            </w:pPr>
          </w:p>
        </w:tc>
        <w:tc>
          <w:tcPr>
            <w:tcW w:w="5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60" w:type="dxa"/>
            <w:vAlign w:val="bottom"/>
            <w:shd w:val="clear" w:color="auto" w:fill="CCEEFF"/>
          </w:tcPr>
          <w:p>
            <w:pPr>
              <w:spacing w:after="0"/>
              <w:rPr>
                <w:sz w:val="18"/>
                <w:szCs w:val="18"/>
                <w:color w:val="auto"/>
              </w:rPr>
            </w:pPr>
          </w:p>
        </w:tc>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acquisition costs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0" w:type="dxa"/>
            <w:vAlign w:val="bottom"/>
          </w:tcPr>
          <w:p>
            <w:pPr>
              <w:spacing w:after="0"/>
              <w:rPr>
                <w:sz w:val="18"/>
                <w:szCs w:val="18"/>
                <w:color w:val="auto"/>
              </w:rPr>
            </w:pPr>
          </w:p>
        </w:tc>
        <w:tc>
          <w:tcPr>
            <w:tcW w:w="5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0" w:type="dxa"/>
            <w:vAlign w:val="bottom"/>
            <w:shd w:val="clear" w:color="auto" w:fill="CCEEFF"/>
          </w:tcPr>
          <w:p>
            <w:pPr>
              <w:spacing w:after="0"/>
              <w:rPr>
                <w:sz w:val="18"/>
                <w:szCs w:val="18"/>
                <w:color w:val="auto"/>
              </w:rPr>
            </w:pPr>
          </w:p>
        </w:tc>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charges in interest expense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160" w:type="dxa"/>
            <w:vAlign w:val="bottom"/>
          </w:tcPr>
          <w:p>
            <w:pPr>
              <w:spacing w:after="0"/>
              <w:rPr>
                <w:sz w:val="23"/>
                <w:szCs w:val="23"/>
                <w:color w:val="auto"/>
              </w:rPr>
            </w:pPr>
          </w:p>
        </w:tc>
        <w:tc>
          <w:tcPr>
            <w:tcW w:w="5040" w:type="dxa"/>
            <w:vAlign w:val="bottom"/>
            <w:gridSpan w:val="4"/>
          </w:tcPr>
          <w:p>
            <w:pPr>
              <w:ind w:left="20"/>
              <w:spacing w:after="0" w:line="270" w:lineRule="exact"/>
              <w:rPr>
                <w:sz w:val="20"/>
                <w:szCs w:val="20"/>
                <w:color w:val="auto"/>
              </w:rPr>
            </w:pPr>
            <w:r>
              <w:rPr>
                <w:rFonts w:ascii="Times New Roman" w:cs="Times New Roman" w:eastAsia="Times New Roman" w:hAnsi="Times New Roman"/>
                <w:sz w:val="18"/>
                <w:szCs w:val="18"/>
                <w:color w:val="auto"/>
              </w:rPr>
              <w:t>Tax effect of the above adjustments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valuation allowance</w:t>
            </w:r>
          </w:p>
        </w:tc>
        <w:tc>
          <w:tcPr>
            <w:tcW w:w="12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178"/>
        </w:trPr>
        <w:tc>
          <w:tcPr>
            <w:tcW w:w="5200" w:type="dxa"/>
            <w:vAlign w:val="bottom"/>
            <w:tcBorders>
              <w:top w:val="single" w:sz="8" w:color="CCEEFF"/>
            </w:tcBorders>
            <w:gridSpan w:val="5"/>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Adjusted net income attributable to AECOM from continuing</w:t>
            </w: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160" w:type="dxa"/>
            <w:vAlign w:val="bottom"/>
            <w:shd w:val="clear" w:color="auto" w:fill="CCEEFF"/>
          </w:tcPr>
          <w:p>
            <w:pPr>
              <w:spacing w:after="0"/>
              <w:rPr>
                <w:sz w:val="22"/>
                <w:szCs w:val="22"/>
                <w:color w:val="auto"/>
              </w:rPr>
            </w:pPr>
          </w:p>
        </w:tc>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341.9</w:t>
            </w: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9"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Adjusts the income taxes during the period to exclude the impact on our effective tax rate of the pre-tax adjustments shown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Attributable to AECOM from</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8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460" w:type="dxa"/>
            <w:vAlign w:val="bottom"/>
            <w:tcBorders>
              <w:bottom w:val="single" w:sz="8" w:color="auto"/>
              <w:right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Continuing Operations per Diluted Share to Adjusted Net</w:t>
            </w:r>
          </w:p>
        </w:tc>
        <w:tc>
          <w:tcPr>
            <w:tcW w:w="580" w:type="dxa"/>
            <w:vAlign w:val="bottom"/>
            <w:tcBorders>
              <w:bottom w:val="single" w:sz="8" w:color="CCEEFF"/>
            </w:tcBorders>
            <w:gridSpan w:val="2"/>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760" w:type="dxa"/>
            <w:vAlign w:val="bottom"/>
            <w:tcBorders>
              <w:bottom w:val="single" w:sz="8" w:color="auto"/>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Income Attributable to AECOM from Continuing Operations</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7"/>
        </w:trPr>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per Diluted Share</w:t>
            </w:r>
          </w:p>
        </w:tc>
        <w:tc>
          <w:tcPr>
            <w:tcW w:w="3660" w:type="dxa"/>
            <w:vAlign w:val="bottom"/>
            <w:tcBorders>
              <w:bottom w:val="single" w:sz="8" w:color="CCEEFF"/>
            </w:tcBorders>
            <w:gridSpan w:val="3"/>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8"/>
        </w:trPr>
        <w:tc>
          <w:tcPr>
            <w:tcW w:w="52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AECOM from continuing operations per</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5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diluted share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5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diluted share adjustments: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Noncore AECOM Capital loss, net of NCI</w:t>
            </w:r>
          </w:p>
        </w:tc>
        <w:tc>
          <w:tcPr>
            <w:tcW w:w="3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160" w:type="dxa"/>
            <w:vAlign w:val="bottom"/>
            <w:shd w:val="clear" w:color="auto" w:fill="CCEEFF"/>
          </w:tcPr>
          <w:p>
            <w:pPr>
              <w:spacing w:after="0"/>
              <w:rPr>
                <w:sz w:val="18"/>
                <w:szCs w:val="18"/>
                <w:color w:val="auto"/>
              </w:rPr>
            </w:pPr>
          </w:p>
        </w:tc>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160" w:type="dxa"/>
            <w:vAlign w:val="bottom"/>
          </w:tcPr>
          <w:p>
            <w:pPr>
              <w:spacing w:after="0"/>
              <w:rPr>
                <w:sz w:val="18"/>
                <w:szCs w:val="18"/>
                <w:color w:val="auto"/>
              </w:rPr>
            </w:pPr>
          </w:p>
        </w:tc>
        <w:tc>
          <w:tcPr>
            <w:tcW w:w="5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Restructuring and acquisition costs</w:t>
            </w:r>
          </w:p>
        </w:tc>
        <w:tc>
          <w:tcPr>
            <w:tcW w:w="3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0.11</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0" w:type="dxa"/>
            <w:vAlign w:val="bottom"/>
            <w:shd w:val="clear" w:color="auto" w:fill="CCEEFF"/>
          </w:tcPr>
          <w:p>
            <w:pPr>
              <w:spacing w:after="0"/>
              <w:rPr>
                <w:sz w:val="18"/>
                <w:szCs w:val="18"/>
                <w:color w:val="auto"/>
              </w:rPr>
            </w:pPr>
          </w:p>
        </w:tc>
        <w:tc>
          <w:tcPr>
            <w:tcW w:w="5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160" w:type="dxa"/>
            <w:vAlign w:val="bottom"/>
          </w:tcPr>
          <w:p>
            <w:pPr>
              <w:spacing w:after="0"/>
              <w:rPr>
                <w:sz w:val="18"/>
                <w:szCs w:val="18"/>
                <w:color w:val="auto"/>
              </w:rPr>
            </w:pPr>
          </w:p>
        </w:tc>
        <w:tc>
          <w:tcPr>
            <w:tcW w:w="5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Financing charges in interest expense</w:t>
            </w:r>
          </w:p>
        </w:tc>
        <w:tc>
          <w:tcPr>
            <w:tcW w:w="3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0.03</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270"/>
        </w:trPr>
        <w:tc>
          <w:tcPr>
            <w:tcW w:w="160" w:type="dxa"/>
            <w:vAlign w:val="bottom"/>
            <w:shd w:val="clear" w:color="auto" w:fill="CCEEFF"/>
          </w:tcPr>
          <w:p>
            <w:pPr>
              <w:spacing w:after="0"/>
              <w:rPr>
                <w:sz w:val="23"/>
                <w:szCs w:val="23"/>
                <w:color w:val="auto"/>
              </w:rPr>
            </w:pPr>
          </w:p>
        </w:tc>
        <w:tc>
          <w:tcPr>
            <w:tcW w:w="5040" w:type="dxa"/>
            <w:vAlign w:val="bottom"/>
            <w:gridSpan w:val="4"/>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Tax effect of the above adjustments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valuation allowance</w:t>
            </w:r>
          </w:p>
        </w:tc>
        <w:tc>
          <w:tcPr>
            <w:tcW w:w="3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3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178"/>
        </w:trPr>
        <w:tc>
          <w:tcPr>
            <w:tcW w:w="5200" w:type="dxa"/>
            <w:vAlign w:val="bottom"/>
            <w:gridSpan w:val="5"/>
          </w:tcPr>
          <w:p>
            <w:pPr>
              <w:spacing w:after="0" w:line="177" w:lineRule="exact"/>
              <w:rPr>
                <w:sz w:val="20"/>
                <w:szCs w:val="20"/>
                <w:color w:val="auto"/>
              </w:rPr>
            </w:pPr>
            <w:r>
              <w:rPr>
                <w:rFonts w:ascii="Times New Roman" w:cs="Times New Roman" w:eastAsia="Times New Roman" w:hAnsi="Times New Roman"/>
                <w:sz w:val="18"/>
                <w:szCs w:val="18"/>
                <w:color w:val="auto"/>
              </w:rPr>
              <w:t>Adjusted net income attributable to AECOM from continuing</w:t>
            </w:r>
          </w:p>
        </w:tc>
        <w:tc>
          <w:tcPr>
            <w:tcW w:w="3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160" w:type="dxa"/>
            <w:vAlign w:val="bottom"/>
          </w:tcPr>
          <w:p>
            <w:pPr>
              <w:spacing w:after="0"/>
              <w:rPr>
                <w:sz w:val="24"/>
                <w:szCs w:val="24"/>
                <w:color w:val="auto"/>
              </w:rPr>
            </w:pPr>
          </w:p>
        </w:tc>
        <w:tc>
          <w:tcPr>
            <w:tcW w:w="5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operations per diluted share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197"/>
        </w:trPr>
        <w:tc>
          <w:tcPr>
            <w:tcW w:w="5200" w:type="dxa"/>
            <w:vAlign w:val="bottom"/>
            <w:tcBorders>
              <w:top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128.7</w:t>
            </w: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130.9</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132.4</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129.8</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5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129.2</w:t>
            </w:r>
          </w:p>
        </w:tc>
        <w:tc>
          <w:tcPr>
            <w:tcW w:w="3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w:t>
            </w:r>
          </w:p>
        </w:tc>
        <w:tc>
          <w:tcPr>
            <w:tcW w:w="3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133.1</w:t>
            </w:r>
          </w:p>
        </w:tc>
        <w:tc>
          <w:tcPr>
            <w:tcW w:w="3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130.6</w:t>
            </w:r>
          </w:p>
        </w:tc>
        <w:tc>
          <w:tcPr>
            <w:tcW w:w="3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4"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Adjusts the income taxes during the period to exclude the impact on our effective tax rate of the pre-tax adjustments shown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Attributable to AECOM from</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34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Continuing Operations to Adjusted EBITDA</w:t>
            </w: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attributable to AECOM from continuing operations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331.4</w:t>
            </w:r>
          </w:p>
        </w:tc>
      </w:tr>
      <w:tr>
        <w:trPr>
          <w:trHeight w:val="216"/>
        </w:trPr>
        <w:tc>
          <w:tcPr>
            <w:tcW w:w="16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160" w:type="dxa"/>
            <w:vAlign w:val="bottom"/>
          </w:tcPr>
          <w:p>
            <w:pPr>
              <w:spacing w:after="0"/>
              <w:rPr>
                <w:sz w:val="18"/>
                <w:szCs w:val="18"/>
                <w:color w:val="auto"/>
              </w:rPr>
            </w:pPr>
          </w:p>
        </w:tc>
        <w:tc>
          <w:tcPr>
            <w:tcW w:w="5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111.5</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r>
      <w:tr>
        <w:trPr>
          <w:trHeight w:val="216"/>
        </w:trPr>
        <w:tc>
          <w:tcPr>
            <w:tcW w:w="16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 of NCI</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160" w:type="dxa"/>
            <w:vAlign w:val="bottom"/>
          </w:tcPr>
          <w:p>
            <w:pPr>
              <w:spacing w:after="0"/>
              <w:rPr>
                <w:sz w:val="18"/>
                <w:szCs w:val="18"/>
                <w:color w:val="auto"/>
              </w:rPr>
            </w:pPr>
          </w:p>
        </w:tc>
        <w:tc>
          <w:tcPr>
            <w:tcW w:w="5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50.5</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16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bank fees included in interest expense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60" w:type="dxa"/>
            <w:vAlign w:val="bottom"/>
          </w:tcPr>
          <w:p>
            <w:pPr>
              <w:spacing w:after="0"/>
              <w:rPr>
                <w:sz w:val="18"/>
                <w:szCs w:val="18"/>
                <w:color w:val="auto"/>
              </w:rPr>
            </w:pPr>
          </w:p>
        </w:tc>
        <w:tc>
          <w:tcPr>
            <w:tcW w:w="5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Noncore AECOM Capital loss, net of NCI</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6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 included in other income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160" w:type="dxa"/>
            <w:vAlign w:val="bottom"/>
          </w:tcPr>
          <w:p>
            <w:pPr>
              <w:spacing w:after="0"/>
              <w:rPr>
                <w:sz w:val="19"/>
                <w:szCs w:val="19"/>
                <w:color w:val="auto"/>
              </w:rPr>
            </w:pPr>
          </w:p>
        </w:tc>
        <w:tc>
          <w:tcPr>
            <w:tcW w:w="5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Restructuring and acquisition costs</w:t>
            </w: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3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AECOM</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Regulation G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60" w:type="dxa"/>
            <w:vAlign w:val="bottom"/>
            <w:gridSpan w:val="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2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2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00" w:type="dxa"/>
            <w:vAlign w:val="bottom"/>
          </w:tcPr>
          <w:p>
            <w:pPr>
              <w:spacing w:after="0"/>
              <w:rPr>
                <w:sz w:val="16"/>
                <w:szCs w:val="16"/>
                <w:color w:val="auto"/>
              </w:rPr>
            </w:pPr>
          </w:p>
        </w:tc>
      </w:tr>
      <w:tr>
        <w:trPr>
          <w:trHeight w:val="238"/>
        </w:trPr>
        <w:tc>
          <w:tcPr>
            <w:tcW w:w="26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155"/>
        </w:trPr>
        <w:tc>
          <w:tcPr>
            <w:tcW w:w="520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Reconciliation of Segment Income from Operations to Adjusted</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7"/>
        </w:trPr>
        <w:tc>
          <w:tcPr>
            <w:tcW w:w="4040" w:type="dxa"/>
            <w:vAlign w:val="bottom"/>
            <w:tcBorders>
              <w:top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 Income from Operations</w:t>
            </w: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Americas Segment:</w:t>
            </w:r>
          </w:p>
        </w:tc>
        <w:tc>
          <w:tcPr>
            <w:tcW w:w="1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413.2</w:t>
            </w:r>
          </w:p>
        </w:tc>
      </w:tr>
      <w:tr>
        <w:trPr>
          <w:trHeight w:val="216"/>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40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segment income from operations</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6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International Segment:</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w:t>
            </w:r>
          </w:p>
        </w:tc>
      </w:tr>
      <w:tr>
        <w:trPr>
          <w:trHeight w:val="216"/>
        </w:trPr>
        <w:tc>
          <w:tcPr>
            <w:tcW w:w="4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0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Adjusted segment income from operations</w:t>
            </w:r>
          </w:p>
        </w:tc>
        <w:tc>
          <w:tcPr>
            <w:tcW w:w="8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bottom w:val="single" w:sz="8" w:color="CCEEFF"/>
            </w:tcBorders>
          </w:tcPr>
          <w:p>
            <w:pPr>
              <w:spacing w:after="0"/>
              <w:rPr>
                <w:sz w:val="21"/>
                <w:szCs w:val="21"/>
                <w:color w:val="auto"/>
              </w:rPr>
            </w:pPr>
          </w:p>
        </w:tc>
      </w:tr>
      <w:tr>
        <w:trPr>
          <w:trHeight w:val="197"/>
        </w:trPr>
        <w:tc>
          <w:tcPr>
            <w:tcW w:w="26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Performance (excludes ACAP &amp; G&amp;A):</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576.2</w:t>
            </w:r>
          </w:p>
        </w:tc>
      </w:tr>
      <w:tr>
        <w:trPr>
          <w:trHeight w:val="216"/>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40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segment income from operations</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26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jc w:val="center"/>
        <w:ind w:left="2820"/>
        <w:spacing w:after="0"/>
        <w:rPr>
          <w:sz w:val="20"/>
          <w:szCs w:val="20"/>
          <w:color w:val="auto"/>
        </w:rPr>
      </w:pPr>
      <w:r>
        <w:rPr>
          <w:rFonts w:ascii="Times New Roman" w:cs="Times New Roman" w:eastAsia="Times New Roman" w:hAnsi="Times New Roman"/>
          <w:sz w:val="18"/>
          <w:szCs w:val="18"/>
          <w:b w:val="1"/>
          <w:bCs w:val="1"/>
          <w:color w:val="auto"/>
        </w:rPr>
        <w:t>AECOM</w:t>
      </w:r>
    </w:p>
    <w:p>
      <w:pPr>
        <w:spacing w:after="0" w:line="31"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8"/>
          <w:szCs w:val="18"/>
          <w:b w:val="1"/>
          <w:bCs w:val="1"/>
          <w:color w:val="auto"/>
        </w:rPr>
        <w:t>Regulation G Information</w:t>
      </w:r>
    </w:p>
    <w:p>
      <w:pPr>
        <w:spacing w:after="0" w:line="203" w:lineRule="exact"/>
        <w:rPr>
          <w:sz w:val="20"/>
          <w:szCs w:val="20"/>
          <w:color w:val="auto"/>
        </w:rPr>
      </w:pPr>
    </w:p>
    <w:p>
      <w:pPr>
        <w:ind w:right="34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FY2026 GAAP EPS Guidance based on Adjusted EPS Guidance </w:t>
      </w:r>
      <w:r>
        <w:rPr>
          <w:rFonts w:ascii="Times New Roman" w:cs="Times New Roman" w:eastAsia="Times New Roman" w:hAnsi="Times New Roman"/>
          <w:sz w:val="18"/>
          <w:szCs w:val="18"/>
          <w:color w:val="auto"/>
        </w:rPr>
        <w:t>(all figures approximate)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GAAP EPS guidance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EPS excludes: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Amortization of deferred financing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Noncore AECOM Capital</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Fair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Restructuring and acquisition costs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Tax effect of the above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EPS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1" w:lineRule="exact"/>
        <w:rPr>
          <w:sz w:val="20"/>
          <w:szCs w:val="20"/>
          <w:color w:val="auto"/>
        </w:rPr>
      </w:pPr>
    </w:p>
    <w:p>
      <w:pPr>
        <w:ind w:right="3300"/>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FY2026 GAAP Net Income from Continuing Operations Guidance based on Adjusted EBITDA Guidance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all figures approximate)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 from continuing operations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right="2840" w:hanging="3"/>
        <w:spacing w:after="0" w:line="263" w:lineRule="auto"/>
        <w:rPr>
          <w:sz w:val="20"/>
          <w:szCs w:val="20"/>
          <w:color w:val="auto"/>
        </w:rPr>
      </w:pPr>
      <w:r>
        <w:rPr>
          <w:rFonts w:ascii="Times New Roman" w:cs="Times New Roman" w:eastAsia="Times New Roman" w:hAnsi="Times New Roman"/>
          <w:sz w:val="18"/>
          <w:szCs w:val="18"/>
          <w:color w:val="auto"/>
        </w:rPr>
        <w:t>Net income attributable to noncontrolling interest from continuing operations Net income attributable to AECOM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AECOM from continuing operations excludes: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Noncore AECOM Capital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Restructuring and acquisition costs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 effect of the above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attributable to AECOM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Adjusted EBITDA excludes: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Adjusted 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Tax expense, including tax effect of above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guidance</w:t>
      </w:r>
    </w:p>
    <w:p>
      <w:pPr>
        <w:spacing w:after="0" w:line="311" w:lineRule="exact"/>
        <w:rPr>
          <w:sz w:val="20"/>
          <w:szCs w:val="20"/>
          <w:color w:val="auto"/>
        </w:rPr>
      </w:pPr>
    </w:p>
    <w:p>
      <w:pPr>
        <w:ind w:right="15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FY2026 GAAP Interest Expense Guidance based on Adjusted Interest Expense Guidance </w:t>
      </w:r>
      <w:r>
        <w:rPr>
          <w:rFonts w:ascii="Times New Roman" w:cs="Times New Roman" w:eastAsia="Times New Roman" w:hAnsi="Times New Roman"/>
          <w:sz w:val="18"/>
          <w:szCs w:val="18"/>
          <w:color w:val="auto"/>
        </w:rPr>
        <w:t>(in millions, all figures approximate)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interest expense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charges in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Interest income, net of NCI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interest expense guidance, net</w:t>
      </w:r>
    </w:p>
    <w:p>
      <w:pPr>
        <w:spacing w:after="0" w:line="284" w:lineRule="exact"/>
        <w:rPr>
          <w:sz w:val="20"/>
          <w:szCs w:val="20"/>
          <w:color w:val="auto"/>
        </w:rPr>
      </w:pPr>
    </w:p>
    <w:p>
      <w:pPr>
        <w:ind w:right="23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FY2026 GAAP Income Tax Guidance based on Adjusted Income Tax Guidance </w:t>
      </w:r>
      <w:r>
        <w:rPr>
          <w:rFonts w:ascii="Times New Roman" w:cs="Times New Roman" w:eastAsia="Times New Roman" w:hAnsi="Times New Roman"/>
          <w:sz w:val="18"/>
          <w:szCs w:val="18"/>
          <w:color w:val="auto"/>
        </w:rPr>
        <w:t>(in millions, all figures approximate)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GAAP income tax expense guidance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effect of adjusting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income tax expense guidance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Variances in tables are due to rounding.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 2026</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$4.25 to $4.86</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$0.58 to $0.44</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$0.06</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$0.02</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($0.11)</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$1.54 to $1.15</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($0.44) to ($0.32)</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$5.90 to $6.10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34290</wp:posOffset>
            </wp:positionV>
            <wp:extent cx="14230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Fiscal Year End 2026</w:t>
      </w:r>
    </w:p>
    <w:p>
      <w:pPr>
        <w:spacing w:after="0" w:line="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$617 to $696</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$552 to $631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14605</wp:posOffset>
            </wp:positionV>
            <wp:extent cx="14916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 to $57</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$200 to $150</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($57) to ($42)</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$767 to $793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14605</wp:posOffset>
            </wp:positionV>
            <wp:extent cx="14916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$160</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$145</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$203 to $207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14605</wp:posOffset>
            </wp:positionV>
            <wp:extent cx="14916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$1,275 to $1,305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17145</wp:posOffset>
            </wp:positionV>
            <wp:extent cx="1491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91615"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34290</wp:posOffset>
            </wp:positionV>
            <wp:extent cx="14916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Fiscal Year End 2026</w:t>
      </w:r>
    </w:p>
    <w:p>
      <w:pPr>
        <w:spacing w:after="0" w:line="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$195</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14605</wp:posOffset>
            </wp:positionV>
            <wp:extent cx="14916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17145</wp:posOffset>
            </wp:positionV>
            <wp:extent cx="14916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34290</wp:posOffset>
            </wp:positionV>
            <wp:extent cx="14916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 2026</w:t>
      </w:r>
    </w:p>
    <w:p>
      <w:pPr>
        <w:spacing w:after="0" w:line="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$146 to $165</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 to $42</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$203 to $207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60325</wp:posOffset>
            </wp:positionV>
            <wp:extent cx="14916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sectPr>
      <w:pgSz w:w="11900" w:h="16838" w:orient="portrait"/>
      <w:cols w:equalWidth="0" w:num="2">
        <w:col w:w="8420" w:space="720"/>
        <w:col w:w="1680"/>
      </w:cols>
      <w:pgMar w:left="320" w:top="90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0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
      <w:numFmt w:val="bullet"/>
      <w:start w:val="1"/>
    </w:lvl>
  </w:abstractNum>
  <w:abstractNum w:abstractNumId="4">
    <w:nsid w:val="216231B"/>
    <w:multiLevelType w:val="hybridMultilevel"/>
    <w:lvl w:ilvl="0">
      <w:lvlJc w:val="left"/>
      <w:lvlText w:val="·"/>
      <w:numFmt w:val="bullet"/>
      <w:start w:val="1"/>
    </w:lvl>
    <w:lvl w:ilvl="1">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
      <w:numFmt w:val="bullet"/>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6"/>
      <w:numFmt w:val="bullet"/>
      <w:start w:val="1"/>
    </w:lvl>
  </w:abstractNum>
  <w:abstractNum w:abstractNumId="10">
    <w:nsid w:val="109CF92E"/>
    <w:multiLevelType w:val="hybridMultilevel"/>
    <w:lvl w:ilvl="0">
      <w:lvlJc w:val="left"/>
      <w:lvlText w:val="7"/>
      <w:numFmt w:val="bullet"/>
      <w:start w:val="1"/>
    </w:lvl>
  </w:abstractNum>
  <w:abstractNum w:abstractNumId="11">
    <w:nsid w:val="DED7263"/>
    <w:multiLevelType w:val="hybridMultilevel"/>
    <w:lvl w:ilvl="0">
      <w:lvlJc w:val="left"/>
      <w:lvlText w:val="8"/>
      <w:numFmt w:val="bullet"/>
      <w:start w:val="1"/>
    </w:lvl>
  </w:abstractNum>
  <w:abstractNum w:abstractNumId="12">
    <w:nsid w:val="7FDCC233"/>
    <w:multiLevelType w:val="hybridMultilevel"/>
    <w:lvl w:ilvl="0">
      <w:lvlJc w:val="left"/>
      <w:lvlText w:val="9"/>
      <w:numFmt w:val="bullet"/>
      <w:start w:val="1"/>
    </w:lvl>
  </w:abstractNum>
  <w:abstractNum w:abstractNumId="13">
    <w:nsid w:val="1BEFD79F"/>
    <w:multiLevelType w:val="hybridMultilevel"/>
    <w:lvl w:ilvl="0">
      <w:lvlJc w:val="left"/>
      <w:lvlText w:val="%1"/>
      <w:numFmt w:val="decimal"/>
      <w:start w:val="10"/>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2026-05-11T15:25:59Z</dcterms:created>
  <dcterms:modified xsi:type="dcterms:W3CDTF">2026-05-11T15:25:59Z</dcterms:modified>
</cp:coreProperties>
</file>