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Shimmick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par value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David Y. Gan</w:t>
              <w:br/>
              <w:t>EVP, Chief Legal Officer, AECOM, 300 South Grand Avenue</w:t>
              <w:br/>
              <w:t>Los Angeles, CA, 90071</w:t>
              <w:br/>
              <w:t>(213) 593-8000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08/10/2026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AECOM</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7,745,000.00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7,745,000.00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7,745,000.00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18.7 %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The amounts in rows 7, 9 and 11 and the percentage in row 13 include (i) 6,708,051 shares of the Shimmick Corporation's (the "Issuer") common stock, par value $0.01 per share ("Common Stock"), directly held by the Reporting Person and (ii) 1,036,949 additional shares of Common Stock of which the Reporting Person may acquire voting and dispositive power within 60 days hereof pursuant to the terms of the Escrow Services Agreement dated June 24, 2024, by and among the Issuer, the Reporting Person and Equiniti Trust Company, LLC.</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item1to7"/>
      <w:bookmarkStart w:id="11" w:name="item1to7"/>
      <w:bookmarkEnd w:id="11"/>
    </w:p>
    <w:tbl>
      <w:tblPr>
        <w:tblW w:w="10205" w:type="dxa"/>
        <w:jc w:val="left"/>
        <w:tblInd w:w="0" w:type="dxa"/>
        <w:tblLayout w:type="fixed"/>
        <w:tblCellMar>
          <w:top w:w="28" w:type="dxa"/>
          <w:left w:w="28" w:type="dxa"/>
          <w:bottom w:w="28" w:type="dxa"/>
          <w:right w:w="28" w:type="dxa"/>
        </w:tblCellMar>
      </w:tblPr>
      <w:tblGrid>
        <w:gridCol w:w="1116"/>
        <w:gridCol w:w="8924"/>
        <w:gridCol w:w="165"/>
      </w:tblGrid>
      <w:tr>
        <w:trPr/>
        <w:tc>
          <w:tcPr>
            <w:tcW w:w="1116" w:type="dxa"/>
            <w:tcBorders/>
            <w:vAlign w:val="center"/>
          </w:tcPr>
          <w:p>
            <w:pPr>
              <w:pStyle w:val="TableContents"/>
              <w:bidi w:val="0"/>
              <w:spacing w:before="0" w:after="283"/>
              <w:jc w:val="left"/>
              <w:rPr/>
            </w:pPr>
            <w:r>
              <w:rPr/>
              <w:t>Item 1.</w:t>
            </w:r>
          </w:p>
        </w:tc>
        <w:tc>
          <w:tcPr>
            <w:tcW w:w="8924" w:type="dxa"/>
            <w:tcBorders/>
            <w:vAlign w:val="center"/>
          </w:tcPr>
          <w:p>
            <w:pPr>
              <w:pStyle w:val="TableContents"/>
              <w:bidi w:val="0"/>
              <w:spacing w:before="0" w:after="283"/>
              <w:jc w:val="left"/>
              <w:rPr/>
            </w:pPr>
            <w:r>
              <w:rPr/>
              <w:t>Security and Issuer</w:t>
            </w:r>
          </w:p>
        </w:tc>
        <w:tc>
          <w:tcPr>
            <w:tcW w:w="16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(a)</w:t>
            </w:r>
          </w:p>
        </w:tc>
        <w:tc>
          <w:tcPr>
            <w:tcW w:w="892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$0.01 per share</w:t>
            </w:r>
          </w:p>
        </w:tc>
        <w:tc>
          <w:tcPr>
            <w:tcW w:w="16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(b)</w:t>
            </w:r>
          </w:p>
        </w:tc>
        <w:tc>
          <w:tcPr>
            <w:tcW w:w="8924" w:type="dxa"/>
            <w:tcBorders/>
            <w:vAlign w:val="center"/>
          </w:tcPr>
          <w:p>
            <w:pPr>
              <w:pStyle w:val="TableContents"/>
              <w:bidi w:val="0"/>
              <w:jc w:val="left"/>
              <w:rPr/>
            </w:pPr>
            <w:r>
              <w:rPr/>
              <w:t xml:space="preserve">Name of Issuer: </w:t>
            </w:r>
          </w:p>
          <w:p>
            <w:pPr>
              <w:pStyle w:val="TableContents"/>
              <w:bidi w:val="0"/>
              <w:spacing w:before="0" w:after="0"/>
              <w:jc w:val="left"/>
              <w:rPr/>
            </w:pPr>
            <w:r>
              <w:rPr/>
              <w:t>Shimmick Corp</w:t>
            </w:r>
          </w:p>
        </w:tc>
        <w:tc>
          <w:tcPr>
            <w:tcW w:w="16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(c)</w:t>
            </w:r>
          </w:p>
        </w:tc>
        <w:tc>
          <w:tcPr>
            <w:tcW w:w="892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530 TECHNOLOGY DRIVE, SUITE 300, IRVINE, CALIFORNIA , 92618.</w:t>
            </w:r>
          </w:p>
        </w:tc>
        <w:tc>
          <w:tcPr>
            <w:tcW w:w="16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3 ("Amendment No. 3") to Schedule 13D amends and supplements the initial statement on Schedule 13D originally filed with the Securities and Exchange Commission (the "SEC") by the Reporting Person on May 24, 2024 (as amended prior to the filing of this Amendment No. 3, the "Schedule 13D"). This Amendment No. 3 is being filed to reflect a change in the percentage of the Common Stock owned by the Reporting Person as a result of a change in the number of shares of Common Stock outstanding and to update Schedule 1. Capitalized terms used but not defined in this Amendment No. 3 shall have the same meanings ascribed to them in the Schedule 13D.</w:t>
            </w:r>
          </w:p>
        </w:tc>
      </w:tr>
      <w:tr>
        <w:trPr/>
        <w:tc>
          <w:tcPr>
            <w:tcW w:w="1116" w:type="dxa"/>
            <w:tcBorders/>
            <w:vAlign w:val="center"/>
          </w:tcPr>
          <w:p>
            <w:pPr>
              <w:pStyle w:val="TableContents"/>
              <w:bidi w:val="0"/>
              <w:spacing w:before="0" w:after="283"/>
              <w:jc w:val="left"/>
              <w:rPr/>
            </w:pPr>
            <w:r>
              <w:rPr/>
              <w:t>Item 2.</w:t>
            </w:r>
          </w:p>
        </w:tc>
        <w:tc>
          <w:tcPr>
            <w:tcW w:w="8924" w:type="dxa"/>
            <w:tcBorders/>
            <w:vAlign w:val="center"/>
          </w:tcPr>
          <w:p>
            <w:pPr>
              <w:pStyle w:val="TableContents"/>
              <w:bidi w:val="0"/>
              <w:spacing w:before="0" w:after="283"/>
              <w:jc w:val="left"/>
              <w:rPr/>
            </w:pPr>
            <w:r>
              <w:rPr/>
              <w:t>Identity and Background</w:t>
            </w:r>
          </w:p>
        </w:tc>
        <w:tc>
          <w:tcPr>
            <w:tcW w:w="16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(c)</w:t>
            </w:r>
          </w:p>
        </w:tc>
        <w:tc>
          <w:tcPr>
            <w:tcW w:w="8924" w:type="dxa"/>
            <w:tcBorders/>
            <w:vAlign w:val="center"/>
          </w:tcPr>
          <w:p>
            <w:pPr>
              <w:pStyle w:val="TableContents"/>
              <w:bidi w:val="0"/>
              <w:spacing w:before="0" w:after="0"/>
              <w:jc w:val="left"/>
              <w:rPr/>
            </w:pPr>
            <w:r>
              <w:rPr/>
              <w:t>Item 2 (c) of the Schedule 13D is hereby amended and restated to read as follows: (c) The principal business of the Reporting Person is providing professional infrastructure consulting services for governments, businesses and organizations. The directors and executive officers of the Reporting Person are listed on Schedule I attached hereto, which is incorporated herein by reference into this Item 2 ("Schedule 1").</w:t>
            </w:r>
          </w:p>
        </w:tc>
        <w:tc>
          <w:tcPr>
            <w:tcW w:w="16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5.</w:t>
            </w:r>
          </w:p>
        </w:tc>
        <w:tc>
          <w:tcPr>
            <w:tcW w:w="8924" w:type="dxa"/>
            <w:tcBorders/>
            <w:vAlign w:val="center"/>
          </w:tcPr>
          <w:p>
            <w:pPr>
              <w:pStyle w:val="TableContents"/>
              <w:bidi w:val="0"/>
              <w:spacing w:before="0" w:after="283"/>
              <w:jc w:val="left"/>
              <w:rPr/>
            </w:pPr>
            <w:r>
              <w:rPr/>
              <w:t>Interest in Securities of the Issuer</w:t>
            </w:r>
          </w:p>
        </w:tc>
        <w:tc>
          <w:tcPr>
            <w:tcW w:w="16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(a)</w:t>
            </w:r>
          </w:p>
        </w:tc>
        <w:tc>
          <w:tcPr>
            <w:tcW w:w="8924" w:type="dxa"/>
            <w:tcBorders/>
            <w:vAlign w:val="center"/>
          </w:tcPr>
          <w:p>
            <w:pPr>
              <w:pStyle w:val="TableContents"/>
              <w:bidi w:val="0"/>
              <w:spacing w:before="0" w:after="0"/>
              <w:jc w:val="left"/>
              <w:rPr/>
            </w:pPr>
            <w:r>
              <w:rPr/>
              <w:t>Items 5(a) of the Schedule 13D is hereby amended and restated to read as follows: (a) The information set forth in Items 7-13 of the cover page is hereby incorporated by reference into this Item 5(a). The percentage calculations herein are based upon 41,335,823 shares of Common Stock issued and outstanding as of August 7, 2026, as reported in the Issuer's Quarterly Report on Form 10-Q, filed with the SEC on August 10, 2026.</w:t>
            </w:r>
          </w:p>
        </w:tc>
        <w:tc>
          <w:tcPr>
            <w:tcW w:w="16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(b)</w:t>
            </w:r>
          </w:p>
        </w:tc>
        <w:tc>
          <w:tcPr>
            <w:tcW w:w="8924" w:type="dxa"/>
            <w:tcBorders/>
            <w:vAlign w:val="center"/>
          </w:tcPr>
          <w:p>
            <w:pPr>
              <w:pStyle w:val="TableContents"/>
              <w:bidi w:val="0"/>
              <w:spacing w:before="0" w:after="0"/>
              <w:jc w:val="left"/>
              <w:rPr/>
            </w:pPr>
            <w:r>
              <w:rPr/>
              <w:t>Item 5(b) of the Schedule 13D is hereby amended and restated to read as follows: (b) The information set forth in Items 7-13 of the cover page is hereby incorporated by reference into this Item 5(b) .</w:t>
            </w:r>
          </w:p>
        </w:tc>
        <w:tc>
          <w:tcPr>
            <w:tcW w:w="16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signatureInfo"/>
      <w:bookmarkStart w:id="13" w:name="signatureInfo"/>
      <w:bookmarkEnd w:id="1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332" w:type="dxa"/>
        <w:jc w:val="left"/>
        <w:tblInd w:w="0" w:type="dxa"/>
        <w:tblLayout w:type="fixed"/>
        <w:tblCellMar>
          <w:top w:w="28" w:type="dxa"/>
          <w:left w:w="28" w:type="dxa"/>
          <w:bottom w:w="28" w:type="dxa"/>
          <w:right w:w="28" w:type="dxa"/>
        </w:tblCellMar>
      </w:tblPr>
      <w:tblGrid>
        <w:gridCol w:w="1166"/>
        <w:gridCol w:w="1166"/>
      </w:tblGrid>
      <w:tr>
        <w:trPr/>
        <w:tc>
          <w:tcPr>
            <w:tcW w:w="1166" w:type="dxa"/>
            <w:tcBorders/>
            <w:vAlign w:val="center"/>
          </w:tcPr>
          <w:p>
            <w:pPr>
              <w:pStyle w:val="TableContents"/>
              <w:bidi w:val="0"/>
              <w:spacing w:before="0" w:after="0"/>
              <w:jc w:val="left"/>
              <w:rPr/>
            </w:pPr>
            <w:r>
              <w:rPr/>
              <w:t> </w:t>
            </w:r>
          </w:p>
          <w:tbl>
            <w:tblPr>
              <w:tblW w:w="1051" w:type="dxa"/>
              <w:jc w:val="left"/>
              <w:tblInd w:w="0" w:type="dxa"/>
              <w:tblLayout w:type="fixed"/>
              <w:tblCellMar>
                <w:top w:w="28" w:type="dxa"/>
                <w:left w:w="28" w:type="dxa"/>
                <w:bottom w:w="28" w:type="dxa"/>
                <w:right w:w="28" w:type="dxa"/>
              </w:tblCellMar>
            </w:tblPr>
            <w:tblGrid>
              <w:gridCol w:w="1051"/>
            </w:tblGrid>
            <w:tr>
              <w:trPr/>
              <w:tc>
                <w:tcPr>
                  <w:tcW w:w="1051" w:type="dxa"/>
                  <w:tcBorders/>
                  <w:vAlign w:val="center"/>
                </w:tcPr>
                <w:p>
                  <w:pPr>
                    <w:pStyle w:val="TableContents"/>
                    <w:bidi w:val="0"/>
                    <w:spacing w:before="0" w:after="0"/>
                    <w:jc w:val="left"/>
                    <w:rPr/>
                  </w:pPr>
                  <w:r>
                    <w:rPr/>
                    <w:t>AECOM</w:t>
                  </w:r>
                </w:p>
              </w:tc>
            </w:tr>
          </w:tbl>
          <w:p>
            <w:pPr>
              <w:pStyle w:val="TableContents"/>
              <w:bidi w:val="0"/>
              <w:spacing w:before="0" w:after="283"/>
              <w:jc w:val="left"/>
              <w:rPr/>
            </w:pPr>
            <w:r>
              <w:rPr/>
            </w:r>
          </w:p>
        </w:tc>
        <w:tc>
          <w:tcPr>
            <w:tcW w:w="116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8"/>
        <w:gridCol w:w="4347"/>
      </w:tblGrid>
      <w:tr>
        <w:trPr/>
        <w:tc>
          <w:tcPr>
            <w:tcW w:w="585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David Y. Gan</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David Y. Gan/Executive Vice President, Chief Legal Officer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347"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bookmarkStart w:id="14" w:name="tm2622906d1_schedule1.htm"/>
      <w:bookmarkStart w:id="15" w:name="kstm2622906d1_schedule1"/>
      <w:bookmarkEnd w:id="14"/>
      <w:bookmarkEnd w:id="15"/>
      <w:r>
        <w:rPr/>
        <w:t> </w:t>
      </w:r>
      <w:r>
        <w:br w:type="page"/>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Officers and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and principal occupation of each executive officer and director of AECOM are set forth below. The address for each person listed below is c/o AECOM, 13355 Noel Road, Dallas, Texas 75240. To the knowledge of the Reporting Person, none of the executive officers or directors of AECOM own any shares of common stock, par value $0.01 per share, of Shimmick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Executive Officers:</w:t>
      </w:r>
    </w:p>
    <w:p>
      <w:pPr>
        <w:pStyle w:val="TextBody"/>
        <w:bidi w:val="0"/>
        <w:spacing w:before="0" w:after="0"/>
        <w:ind w:left="0" w:right="0" w:hanging="0"/>
        <w:jc w:val="both"/>
        <w:rPr>
          <w:caps w:val="false"/>
          <w:smallCaps w:val="false"/>
        </w:rPr>
      </w:pPr>
      <w:r>
        <w:rPr>
          <w:caps w:val="false"/>
          <w:smallCaps w:val="false"/>
        </w:rPr>
        <w:t> </w:t>
      </w:r>
    </w:p>
    <w:tbl>
      <w:tblPr>
        <w:tblW w:w="7020" w:type="dxa"/>
        <w:jc w:val="left"/>
        <w:tblInd w:w="-10" w:type="dxa"/>
        <w:tblLayout w:type="fixed"/>
        <w:tblCellMar>
          <w:top w:w="40" w:type="dxa"/>
          <w:left w:w="40" w:type="dxa"/>
          <w:bottom w:w="40" w:type="dxa"/>
          <w:right w:w="40" w:type="dxa"/>
        </w:tblCellMar>
      </w:tblPr>
      <w:tblGrid>
        <w:gridCol w:w="1265"/>
        <w:gridCol w:w="3710"/>
        <w:gridCol w:w="2045"/>
      </w:tblGrid>
      <w:tr>
        <w:trPr/>
        <w:tc>
          <w:tcPr>
            <w:tcW w:w="126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both"/>
              <w:rPr>
                <w:b/>
                <w:sz w:val="20"/>
              </w:rPr>
            </w:pPr>
            <w:r>
              <w:rPr>
                <w:b/>
                <w:sz w:val="20"/>
              </w:rPr>
              <w:t>Name</w:t>
            </w:r>
          </w:p>
        </w:tc>
        <w:tc>
          <w:tcPr>
            <w:tcW w:w="371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both"/>
              <w:rPr>
                <w:b/>
                <w:sz w:val="20"/>
              </w:rPr>
            </w:pPr>
            <w:r>
              <w:rPr>
                <w:b/>
                <w:sz w:val="20"/>
              </w:rPr>
              <w:t>Principal Occupation</w:t>
            </w:r>
          </w:p>
        </w:tc>
        <w:tc>
          <w:tcPr>
            <w:tcW w:w="204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both"/>
              <w:rPr>
                <w:b/>
                <w:sz w:val="20"/>
              </w:rPr>
            </w:pPr>
            <w:r>
              <w:rPr>
                <w:b/>
                <w:sz w:val="20"/>
              </w:rPr>
              <w:t>Citizenship</w:t>
            </w:r>
          </w:p>
        </w:tc>
      </w:tr>
      <w:tr>
        <w:trPr/>
        <w:tc>
          <w:tcPr>
            <w:tcW w:w="126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Troy Rudd</w:t>
            </w:r>
          </w:p>
        </w:tc>
        <w:tc>
          <w:tcPr>
            <w:tcW w:w="37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sz w:val="20"/>
              </w:rPr>
            </w:pPr>
            <w:r>
              <w:rPr>
                <w:sz w:val="20"/>
              </w:rPr>
              <w:t>Chairman and Chief Executive Officer</w:t>
            </w:r>
          </w:p>
        </w:tc>
        <w:tc>
          <w:tcPr>
            <w:tcW w:w="2045"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 of America</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Canada</w:t>
            </w:r>
          </w:p>
        </w:tc>
      </w:tr>
      <w:tr>
        <w:trPr/>
        <w:tc>
          <w:tcPr>
            <w:tcW w:w="126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Gaurav Kapoor</w:t>
            </w:r>
          </w:p>
        </w:tc>
        <w:tc>
          <w:tcPr>
            <w:tcW w:w="37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sz w:val="20"/>
              </w:rPr>
            </w:pPr>
            <w:r>
              <w:rPr>
                <w:sz w:val="20"/>
              </w:rPr>
              <w:t>Chief Financial &amp; Operations Officer</w:t>
            </w:r>
          </w:p>
        </w:tc>
        <w:tc>
          <w:tcPr>
            <w:tcW w:w="20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sz w:val="20"/>
              </w:rPr>
            </w:pPr>
            <w:r>
              <w:rPr>
                <w:sz w:val="20"/>
              </w:rPr>
              <w:t>United States of America</w:t>
            </w:r>
          </w:p>
        </w:tc>
      </w:tr>
      <w:tr>
        <w:trPr/>
        <w:tc>
          <w:tcPr>
            <w:tcW w:w="126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Lara Poloni</w:t>
            </w:r>
          </w:p>
        </w:tc>
        <w:tc>
          <w:tcPr>
            <w:tcW w:w="37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sz w:val="20"/>
              </w:rPr>
            </w:pPr>
            <w:r>
              <w:rPr>
                <w:sz w:val="20"/>
              </w:rPr>
              <w:t>President</w:t>
            </w:r>
          </w:p>
        </w:tc>
        <w:tc>
          <w:tcPr>
            <w:tcW w:w="20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sz w:val="20"/>
              </w:rPr>
            </w:pPr>
            <w:r>
              <w:rPr>
                <w:sz w:val="20"/>
              </w:rPr>
              <w:t>Australia</w:t>
            </w:r>
          </w:p>
        </w:tc>
      </w:tr>
      <w:tr>
        <w:trPr/>
        <w:tc>
          <w:tcPr>
            <w:tcW w:w="126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David Gan</w:t>
            </w:r>
          </w:p>
        </w:tc>
        <w:tc>
          <w:tcPr>
            <w:tcW w:w="37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sz w:val="20"/>
              </w:rPr>
            </w:pPr>
            <w:r>
              <w:rPr>
                <w:sz w:val="20"/>
              </w:rPr>
              <w:t>Executive Vice President, Chief Legal Officer</w:t>
            </w:r>
          </w:p>
        </w:tc>
        <w:tc>
          <w:tcPr>
            <w:tcW w:w="20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sz w:val="20"/>
              </w:rPr>
            </w:pPr>
            <w:r>
              <w:rPr>
                <w:sz w:val="20"/>
              </w:rPr>
              <w:t>United States of America</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Directors: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10" w:type="dxa"/>
        <w:tblLayout w:type="fixed"/>
        <w:tblCellMar>
          <w:top w:w="40" w:type="dxa"/>
          <w:left w:w="40" w:type="dxa"/>
          <w:bottom w:w="40" w:type="dxa"/>
          <w:right w:w="40" w:type="dxa"/>
        </w:tblCellMar>
      </w:tblPr>
      <w:tblGrid>
        <w:gridCol w:w="1789"/>
        <w:gridCol w:w="6917"/>
        <w:gridCol w:w="1499"/>
      </w:tblGrid>
      <w:tr>
        <w:trPr/>
        <w:tc>
          <w:tcPr>
            <w:tcW w:w="178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both"/>
              <w:rPr>
                <w:b/>
                <w:sz w:val="20"/>
              </w:rPr>
            </w:pPr>
            <w:r>
              <w:rPr>
                <w:b/>
                <w:sz w:val="20"/>
              </w:rPr>
              <w:t>Name</w:t>
            </w:r>
          </w:p>
        </w:tc>
        <w:tc>
          <w:tcPr>
            <w:tcW w:w="6917"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both"/>
              <w:rPr>
                <w:b/>
                <w:sz w:val="20"/>
              </w:rPr>
            </w:pPr>
            <w:r>
              <w:rPr>
                <w:b/>
                <w:sz w:val="20"/>
              </w:rPr>
              <w:t>Principal Occupation</w:t>
            </w:r>
          </w:p>
        </w:tc>
        <w:tc>
          <w:tcPr>
            <w:tcW w:w="149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both"/>
              <w:rPr>
                <w:b/>
                <w:sz w:val="20"/>
              </w:rPr>
            </w:pPr>
            <w:r>
              <w:rPr>
                <w:b/>
                <w:sz w:val="20"/>
              </w:rPr>
              <w:t>Citizenship</w:t>
            </w:r>
          </w:p>
        </w:tc>
      </w:tr>
      <w:tr>
        <w:trPr/>
        <w:tc>
          <w:tcPr>
            <w:tcW w:w="178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Bradley W. Buss</w:t>
            </w:r>
          </w:p>
        </w:tc>
        <w:tc>
          <w:tcPr>
            <w:tcW w:w="69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sz w:val="20"/>
              </w:rPr>
            </w:pPr>
            <w:r>
              <w:rPr>
                <w:sz w:val="20"/>
              </w:rPr>
              <w:t>&amp;NegativeThickSpace;Former Chief Financial Officer of SolarCity Corporation and former Chief Financial Officer of Cypress Semiconductor Corporation</w:t>
            </w:r>
          </w:p>
        </w:tc>
        <w:tc>
          <w:tcPr>
            <w:tcW w:w="149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sz w:val="20"/>
              </w:rPr>
            </w:pPr>
            <w:r>
              <w:rPr>
                <w:sz w:val="20"/>
              </w:rPr>
              <w:t>Canada</w:t>
            </w:r>
          </w:p>
        </w:tc>
      </w:tr>
      <w:tr>
        <w:trPr/>
        <w:tc>
          <w:tcPr>
            <w:tcW w:w="178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Derek J. Kerr</w:t>
            </w:r>
          </w:p>
        </w:tc>
        <w:tc>
          <w:tcPr>
            <w:tcW w:w="69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sz w:val="20"/>
              </w:rPr>
            </w:pPr>
            <w:r>
              <w:rPr>
                <w:sz w:val="20"/>
              </w:rPr>
              <w:t>Former Vice Chair and Chief Financial Officer of American Airlines</w:t>
            </w:r>
          </w:p>
        </w:tc>
        <w:tc>
          <w:tcPr>
            <w:tcW w:w="149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United States of America</w:t>
            </w:r>
          </w:p>
        </w:tc>
      </w:tr>
      <w:tr>
        <w:trPr/>
        <w:tc>
          <w:tcPr>
            <w:tcW w:w="178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Kristy Pipes</w:t>
            </w:r>
          </w:p>
        </w:tc>
        <w:tc>
          <w:tcPr>
            <w:tcW w:w="69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sz w:val="20"/>
              </w:rPr>
            </w:pPr>
            <w:r>
              <w:rPr>
                <w:sz w:val="20"/>
              </w:rPr>
              <w:t>Former Chief Financial Officer of Deloitte Consulting</w:t>
            </w:r>
          </w:p>
        </w:tc>
        <w:tc>
          <w:tcPr>
            <w:tcW w:w="149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United States of America</w:t>
            </w:r>
          </w:p>
        </w:tc>
      </w:tr>
      <w:tr>
        <w:trPr/>
        <w:tc>
          <w:tcPr>
            <w:tcW w:w="178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Troy Rudd</w:t>
            </w:r>
          </w:p>
        </w:tc>
        <w:tc>
          <w:tcPr>
            <w:tcW w:w="69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sz w:val="20"/>
              </w:rPr>
            </w:pPr>
            <w:r>
              <w:rPr>
                <w:sz w:val="20"/>
              </w:rPr>
              <w:t>Chairman and Chief Executive Officer of AECOM</w:t>
            </w:r>
          </w:p>
        </w:tc>
        <w:tc>
          <w:tcPr>
            <w:tcW w:w="149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United States of America</w:t>
            </w:r>
          </w:p>
        </w:tc>
      </w:tr>
      <w:tr>
        <w:trPr/>
        <w:tc>
          <w:tcPr>
            <w:tcW w:w="178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Douglas W. Stotlar</w:t>
            </w:r>
          </w:p>
        </w:tc>
        <w:tc>
          <w:tcPr>
            <w:tcW w:w="69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sz w:val="20"/>
              </w:rPr>
            </w:pPr>
            <w:r>
              <w:rPr>
                <w:sz w:val="20"/>
              </w:rPr>
              <w:t>Former President and Chief Executive Officer, Con-way Inc.</w:t>
            </w:r>
          </w:p>
        </w:tc>
        <w:tc>
          <w:tcPr>
            <w:tcW w:w="149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United States of America</w:t>
            </w:r>
          </w:p>
        </w:tc>
      </w:tr>
      <w:tr>
        <w:trPr/>
        <w:tc>
          <w:tcPr>
            <w:tcW w:w="178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Daniel R. Tishman</w:t>
            </w:r>
          </w:p>
        </w:tc>
        <w:tc>
          <w:tcPr>
            <w:tcW w:w="69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sz w:val="20"/>
              </w:rPr>
            </w:pPr>
            <w:r>
              <w:rPr>
                <w:sz w:val="20"/>
              </w:rPr>
              <w:t>Chairman and Executive Vice President of Tishman Holdings Corporation</w:t>
            </w:r>
          </w:p>
        </w:tc>
        <w:tc>
          <w:tcPr>
            <w:tcW w:w="149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United States of America</w:t>
            </w:r>
          </w:p>
        </w:tc>
      </w:tr>
      <w:tr>
        <w:trPr/>
        <w:tc>
          <w:tcPr>
            <w:tcW w:w="178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Sander van ’t Noordende</w:t>
            </w:r>
          </w:p>
        </w:tc>
        <w:tc>
          <w:tcPr>
            <w:tcW w:w="69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sz w:val="20"/>
              </w:rPr>
            </w:pPr>
            <w:r>
              <w:rPr>
                <w:sz w:val="20"/>
              </w:rPr>
              <w:t>Chief Executive Officer of Randstad; Former Global Chief Executive of Products Operating Group at Accenture</w:t>
            </w:r>
          </w:p>
        </w:tc>
        <w:tc>
          <w:tcPr>
            <w:tcW w:w="149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Netherlands</w:t>
            </w:r>
          </w:p>
        </w:tc>
      </w:tr>
      <w:tr>
        <w:trPr/>
        <w:tc>
          <w:tcPr>
            <w:tcW w:w="178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General Janet C. Wolfenbarger</w:t>
            </w:r>
          </w:p>
        </w:tc>
        <w:tc>
          <w:tcPr>
            <w:tcW w:w="69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sz w:val="20"/>
              </w:rPr>
            </w:pPr>
            <w:r>
              <w:rPr>
                <w:sz w:val="20"/>
              </w:rPr>
              <w:t>General (Retired), United States Air Force</w:t>
            </w:r>
          </w:p>
        </w:tc>
        <w:tc>
          <w:tcPr>
            <w:tcW w:w="149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United States of America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1048</Words>
  <Characters>5497</Characters>
  <CharactersWithSpaces>6462</CharactersWithSpaces>
  <Paragraphs>154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