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3,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AECOM</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0-52423</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61-1088522</w:t>
            </w:r>
          </w:p>
        </w:tc>
      </w:tr>
      <w:tr>
        <w:trPr>
          <w:trHeight w:val="216"/>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(Commission</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13355 Noel Road</w:t>
            </w:r>
          </w:p>
        </w:tc>
        <w:tc>
          <w:tcPr>
            <w:tcW w:w="54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0"/>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Dallas, Texas 75240</w:t>
            </w:r>
          </w:p>
        </w:tc>
        <w:tc>
          <w:tcPr>
            <w:tcW w:w="5440" w:type="dxa"/>
            <w:vAlign w:val="bottom"/>
          </w:tcPr>
          <w:p>
            <w:pPr>
              <w:spacing w:after="0"/>
              <w:rPr>
                <w:sz w:val="19"/>
                <w:szCs w:val="19"/>
                <w:color w:val="auto"/>
              </w:rPr>
            </w:pPr>
          </w:p>
        </w:tc>
        <w:tc>
          <w:tcPr>
            <w:tcW w:w="17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75240</w:t>
            </w:r>
          </w:p>
        </w:tc>
      </w:tr>
      <w:tr>
        <w:trPr>
          <w:trHeight w:val="216"/>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w:t>
            </w:r>
          </w:p>
        </w:tc>
        <w:tc>
          <w:tcPr>
            <w:tcW w:w="5440" w:type="dxa"/>
            <w:vAlign w:val="bottom"/>
          </w:tcPr>
          <w:p>
            <w:pPr>
              <w:spacing w:after="0"/>
              <w:rPr>
                <w:sz w:val="18"/>
                <w:szCs w:val="18"/>
                <w:color w:val="auto"/>
              </w:rPr>
            </w:pP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Executive Offices)</w:t>
            </w:r>
          </w:p>
        </w:tc>
        <w:tc>
          <w:tcPr>
            <w:tcW w:w="5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(972) 788-1000</w:t>
            </w:r>
          </w:p>
        </w:tc>
        <w:tc>
          <w:tcPr>
            <w:tcW w:w="1700" w:type="dxa"/>
            <w:vAlign w:val="bottom"/>
          </w:tcPr>
          <w:p>
            <w:pPr>
              <w:spacing w:after="0"/>
              <w:rPr>
                <w:sz w:val="24"/>
                <w:szCs w:val="24"/>
                <w:color w:val="auto"/>
              </w:rPr>
            </w:pPr>
          </w:p>
        </w:tc>
      </w:tr>
      <w:tr>
        <w:trPr>
          <w:trHeight w:val="414"/>
        </w:trPr>
        <w:tc>
          <w:tcPr>
            <w:tcW w:w="214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jc w:val="center"/>
        <w:ind w:left="340" w:righ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8040" w:type="dxa"/>
            <w:vAlign w:val="bottom"/>
            <w:gridSpan w:val="5"/>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32"/>
        </w:trPr>
        <w:tc>
          <w:tcPr>
            <w:tcW w:w="32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200" w:type="dxa"/>
            <w:vAlign w:val="bottom"/>
            <w:tcBorders>
              <w:top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ACM</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3, 2026, AECOM announced that its Board of Directors has declared a quarterly cash dividend of $0.31 per share as part of the Company’s ongoing quarterly dividend program. The dividend is payable on July 17, 2026 to stockholders of record as of the close of business on July 1, 2026. The declaration and payment of future dividends are subject to the sole discretion of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announcing the declaration of a cash dividend is attached hereto as Exhibit 99.1 and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3, 2026 entitled “AECOM declares quarterly dividend”</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900" w:right="6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AECOM</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June 3,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David Y. Gan</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Y. Gan</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714500"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w:t>
            </w:r>
          </w:p>
        </w:tc>
        <w:tc>
          <w:tcPr>
            <w:tcW w:w="426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Investor Contact:</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Media Contact:</w:t>
            </w:r>
          </w:p>
        </w:tc>
      </w:tr>
      <w:tr>
        <w:trPr>
          <w:trHeight w:val="216"/>
        </w:trPr>
        <w:tc>
          <w:tcPr>
            <w:tcW w:w="3280" w:type="dxa"/>
            <w:vAlign w:val="bottom"/>
          </w:tcPr>
          <w:p>
            <w:pPr>
              <w:spacing w:after="0"/>
              <w:rPr>
                <w:sz w:val="18"/>
                <w:szCs w:val="18"/>
                <w:color w:val="auto"/>
              </w:rPr>
            </w:pPr>
          </w:p>
        </w:tc>
        <w:tc>
          <w:tcPr>
            <w:tcW w:w="42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Will Gabrielski</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Brendan Ranson-Walsh</w:t>
            </w:r>
          </w:p>
        </w:tc>
      </w:tr>
      <w:tr>
        <w:trPr>
          <w:trHeight w:val="216"/>
        </w:trPr>
        <w:tc>
          <w:tcPr>
            <w:tcW w:w="3280" w:type="dxa"/>
            <w:vAlign w:val="bottom"/>
          </w:tcPr>
          <w:p>
            <w:pPr>
              <w:spacing w:after="0"/>
              <w:rPr>
                <w:sz w:val="18"/>
                <w:szCs w:val="18"/>
                <w:color w:val="auto"/>
              </w:rPr>
            </w:pPr>
          </w:p>
        </w:tc>
        <w:tc>
          <w:tcPr>
            <w:tcW w:w="42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Senior Vice President, Finance, Treasurer</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Senior Vice President, Global Communications</w:t>
            </w:r>
          </w:p>
        </w:tc>
      </w:tr>
      <w:tr>
        <w:trPr>
          <w:trHeight w:val="216"/>
        </w:trPr>
        <w:tc>
          <w:tcPr>
            <w:tcW w:w="3280" w:type="dxa"/>
            <w:vAlign w:val="bottom"/>
          </w:tcPr>
          <w:p>
            <w:pPr>
              <w:spacing w:after="0"/>
              <w:rPr>
                <w:sz w:val="18"/>
                <w:szCs w:val="18"/>
                <w:color w:val="auto"/>
              </w:rPr>
            </w:pPr>
          </w:p>
        </w:tc>
        <w:tc>
          <w:tcPr>
            <w:tcW w:w="2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213.593.8208</w:t>
            </w:r>
          </w:p>
        </w:tc>
        <w:tc>
          <w:tcPr>
            <w:tcW w:w="14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213.996.2367</w:t>
            </w:r>
          </w:p>
        </w:tc>
        <w:tc>
          <w:tcPr>
            <w:tcW w:w="720" w:type="dxa"/>
            <w:vAlign w:val="bottom"/>
          </w:tcPr>
          <w:p>
            <w:pPr>
              <w:spacing w:after="0"/>
              <w:rPr>
                <w:sz w:val="18"/>
                <w:szCs w:val="18"/>
                <w:color w:val="auto"/>
              </w:rPr>
            </w:pPr>
          </w:p>
        </w:tc>
      </w:tr>
      <w:tr>
        <w:trPr>
          <w:trHeight w:val="194"/>
        </w:trPr>
        <w:tc>
          <w:tcPr>
            <w:tcW w:w="3280" w:type="dxa"/>
            <w:vAlign w:val="bottom"/>
          </w:tcPr>
          <w:p>
            <w:pPr>
              <w:spacing w:after="0"/>
              <w:rPr>
                <w:sz w:val="16"/>
                <w:szCs w:val="16"/>
                <w:color w:val="auto"/>
              </w:rPr>
            </w:pPr>
          </w:p>
        </w:tc>
        <w:tc>
          <w:tcPr>
            <w:tcW w:w="4260" w:type="dxa"/>
            <w:vAlign w:val="bottom"/>
            <w:gridSpan w:val="3"/>
          </w:tcPr>
          <w:p>
            <w:pPr>
              <w:ind w:left="440"/>
              <w:spacing w:after="0" w:line="194" w:lineRule="exact"/>
              <w:rPr>
                <w:sz w:val="20"/>
                <w:szCs w:val="20"/>
                <w:color w:val="auto"/>
              </w:rPr>
            </w:pPr>
            <w:r>
              <w:rPr>
                <w:rFonts w:ascii="Times New Roman" w:cs="Times New Roman" w:eastAsia="Times New Roman" w:hAnsi="Times New Roman"/>
                <w:sz w:val="18"/>
                <w:szCs w:val="18"/>
                <w:color w:val="auto"/>
              </w:rPr>
              <w:t>William.Gabrielski@aecom.com</w:t>
            </w:r>
          </w:p>
        </w:tc>
        <w:tc>
          <w:tcPr>
            <w:tcW w:w="34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Brendan.Ranson-Walsh@aecom.com</w:t>
            </w:r>
          </w:p>
        </w:tc>
      </w:tr>
      <w:tr>
        <w:trPr>
          <w:trHeight w:val="479"/>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AECOM declares quarterly dividend</w:t>
            </w:r>
          </w:p>
        </w:tc>
        <w:tc>
          <w:tcPr>
            <w:tcW w:w="440" w:type="dxa"/>
            <w:vAlign w:val="bottom"/>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70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bl>
    <w:p>
      <w:pPr>
        <w:spacing w:after="0" w:line="194"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DALLAS (June 3, 2026) </w:t>
      </w:r>
      <w:r>
        <w:rPr>
          <w:rFonts w:ascii="Times New Roman" w:cs="Times New Roman" w:eastAsia="Times New Roman" w:hAnsi="Times New Roman"/>
          <w:sz w:val="18"/>
          <w:szCs w:val="18"/>
          <w:color w:val="auto"/>
        </w:rPr>
        <w:t>— AECOM (NYSE: ACM), the trusted global infrastructure leader, today announced that its Board of Directors has declared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quarterly cash dividend of $0.31 per share as part of its ongoing quarterly dividend program. The dividend is payable on July 17, 2026 to stockholders of record as of the close of business on July 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AECOM</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AECOM (NYSE: ACM) is the global infrastructure leader, committed to delivering a better world. As a trusted professional services firm powered by deep technical abilities, we solve our clients’ complex challenges in water, environment, energy, transportation and buildings. Our teams partner with public- and private-sector clients to create innovative, sustainable and resilient solutions throughout the project lifecycle – from advisory, planning, design and engineering to program and construction management. AECOM is a Fortune 500 firm that had revenue of $16.1 billion in fiscal year 2025. Learn more at aecom.com.</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2026-06-03T06:06:05Z</dcterms:created>
  <dcterms:modified xsi:type="dcterms:W3CDTF">2026-06-03T06:06:05Z</dcterms:modified>
</cp:coreProperties>
</file>