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jc w:val="left"/>
        <w:rPr>
          <w:bdr w:val="single" w:sz="16" w:space="1" w:color="000000"/>
        </w:rPr>
      </w:pPr>
      <w:bookmarkStart w:id="0" w:name="tm2625416d1_8k.htm"/>
      <w:bookmarkStart w:id="1" w:name="kstm2625416d1_8k"/>
      <w:bookmarkEnd w:id="0"/>
      <w:bookmarkEnd w:id="1"/>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2"/>
        </w:rPr>
      </w:pPr>
      <w:r>
        <w:rPr>
          <w:rFonts w:ascii="Times New Roman;Times;Serif" w:hAnsi="Times New Roman;Times;Serif"/>
          <w:b/>
          <w:i w:val="false"/>
          <w:caps w:val="false"/>
          <w:smallCaps w:val="false"/>
          <w:sz w:val="22"/>
        </w:rPr>
        <w:t xml:space="preserve">FORM </w:t>
      </w:r>
      <w:bookmarkStart w:id="2" w:name="xdx_90A_edei--DocumentType_c20260914__20"/>
      <w:bookmarkEnd w:id="2"/>
      <w:r>
        <w:rPr>
          <w:rFonts w:ascii="Times New Roman;Times;Serif" w:hAnsi="Times New Roman;Times;Serif"/>
          <w:b/>
          <w:i w:val="false"/>
          <w:caps w:val="false"/>
          <w:smallCaps w:val="false"/>
          <w:sz w:val="22"/>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r>
        <w:rPr>
          <w:rFonts w:ascii="Times New Roman;Times;Serif" w:hAnsi="Times New Roman;Times;Serif"/>
          <w:b/>
          <w:i w:val="false"/>
          <w:caps w:val="false"/>
          <w:smallCaps w:val="false"/>
          <w:sz w:val="20"/>
        </w:rPr>
        <w:t>, as amended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Date of Report (Date of earliest event reported): </w:t>
      </w:r>
      <w:bookmarkStart w:id="3" w:name="xdx_900_edei--DocumentPeriodEndDate_c202"/>
      <w:bookmarkEnd w:id="3"/>
      <w:r>
        <w:rPr>
          <w:rFonts w:ascii="Times New Roman;Times;Serif" w:hAnsi="Times New Roman;Times;Serif"/>
          <w:b/>
          <w:i w:val="false"/>
          <w:caps w:val="false"/>
          <w:smallCaps w:val="false"/>
          <w:sz w:val="20"/>
        </w:rPr>
        <w:t xml:space="preserve">September 14, 2026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bookmarkStart w:id="4" w:name="xdx_909_edei--EntityRegistrantName_c2026"/>
      <w:bookmarkEnd w:id="4"/>
      <w:r>
        <w:rPr>
          <w:rFonts w:ascii="Times New Roman;Times;Serif" w:hAnsi="Times New Roman;Times;Serif"/>
          <w:b/>
          <w:i w:val="false"/>
          <w:caps w:val="false"/>
          <w:smallCaps w:val="false"/>
          <w:sz w:val="28"/>
        </w:rPr>
        <w:t>AECOM</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jc w:val="center"/>
        <w:rPr/>
      </w:pPr>
      <w:r>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jc w:val="center"/>
        <w:rPr/>
      </w:pPr>
      <w:r>
        <w:rPr/>
        <w:t> </w:t>
      </w:r>
    </w:p>
    <w:tbl>
      <w:tblPr>
        <w:tblW w:w="4890" w:type="dxa"/>
        <w:jc w:val="left"/>
        <w:tblInd w:w="0" w:type="dxa"/>
        <w:tblLayout w:type="fixed"/>
        <w:tblCellMar>
          <w:top w:w="0" w:type="dxa"/>
          <w:left w:w="0" w:type="dxa"/>
          <w:bottom w:w="0" w:type="dxa"/>
          <w:right w:w="0" w:type="dxa"/>
        </w:tblCellMar>
      </w:tblPr>
      <w:tblGrid>
        <w:gridCol w:w="2150"/>
        <w:gridCol w:w="60"/>
        <w:gridCol w:w="1100"/>
        <w:gridCol w:w="60"/>
        <w:gridCol w:w="1520"/>
      </w:tblGrid>
      <w:tr>
        <w:trPr/>
        <w:tc>
          <w:tcPr>
            <w:tcW w:w="215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5" w:name="xdx_908_edei--EntityIncorporationStateCo"/>
            <w:bookmarkEnd w:id="5"/>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6" w:name="xdx_907_edei--EntityFileNumber_c20260914"/>
            <w:bookmarkEnd w:id="6"/>
            <w:r>
              <w:rPr>
                <w:rFonts w:ascii="Times New Roman;Times;Serif" w:hAnsi="Times New Roman;Times;Serif"/>
                <w:b/>
                <w:i w:val="false"/>
                <w:caps w:val="false"/>
                <w:smallCaps w:val="false"/>
                <w:sz w:val="20"/>
              </w:rPr>
              <w:t>000-52423</w:t>
            </w:r>
          </w:p>
        </w:tc>
        <w:tc>
          <w:tcPr>
            <w:tcW w:w="6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bookmarkStart w:id="7" w:name="xdx_903_edei--EntityTaxIdentificationNum"/>
            <w:bookmarkEnd w:id="7"/>
            <w:r>
              <w:rPr>
                <w:rFonts w:ascii="Times New Roman;Times;Serif" w:hAnsi="Times New Roman;Times;Serif"/>
                <w:b/>
                <w:i w:val="false"/>
                <w:caps w:val="false"/>
                <w:smallCaps w:val="false"/>
                <w:sz w:val="20"/>
              </w:rPr>
              <w:t>61-1088522</w:t>
            </w:r>
          </w:p>
        </w:tc>
      </w:tr>
      <w:tr>
        <w:trPr/>
        <w:tc>
          <w:tcPr>
            <w:tcW w:w="215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w:t>
            </w:r>
          </w:p>
        </w:tc>
        <w:tc>
          <w:tcPr>
            <w:tcW w:w="6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w:t>
            </w:r>
          </w:p>
        </w:tc>
      </w:tr>
      <w:tr>
        <w:trPr/>
        <w:tc>
          <w:tcPr>
            <w:tcW w:w="215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of incorporation)</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File Number)</w:t>
            </w:r>
          </w:p>
        </w:tc>
        <w:tc>
          <w:tcPr>
            <w:tcW w:w="60" w:type="dxa"/>
            <w:tcBorders/>
            <w:vAlign w:val="center"/>
          </w:tcPr>
          <w:p>
            <w:pPr>
              <w:pStyle w:val="TableContents"/>
              <w:bidi w:val="0"/>
              <w:spacing w:before="0" w:after="283"/>
              <w:jc w:val="left"/>
              <w:rPr/>
            </w:pPr>
            <w:r>
              <w:rPr/>
              <w:t> </w:t>
            </w:r>
          </w:p>
        </w:tc>
        <w:tc>
          <w:tcPr>
            <w:tcW w:w="152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270" w:type="dxa"/>
        <w:jc w:val="left"/>
        <w:tblInd w:w="0" w:type="dxa"/>
        <w:tblLayout w:type="fixed"/>
        <w:tblCellMar>
          <w:top w:w="0" w:type="dxa"/>
          <w:left w:w="0" w:type="dxa"/>
          <w:bottom w:w="0" w:type="dxa"/>
          <w:right w:w="0" w:type="dxa"/>
        </w:tblCellMar>
      </w:tblPr>
      <w:tblGrid>
        <w:gridCol w:w="3185"/>
        <w:gridCol w:w="60"/>
        <w:gridCol w:w="60"/>
        <w:gridCol w:w="60"/>
        <w:gridCol w:w="905"/>
      </w:tblGrid>
      <w:tr>
        <w:trPr/>
        <w:tc>
          <w:tcPr>
            <w:tcW w:w="3185" w:type="dxa"/>
            <w:tcBorders/>
            <w:vAlign w:val="center"/>
          </w:tcPr>
          <w:p>
            <w:pPr>
              <w:pStyle w:val="TableContents"/>
              <w:bidi w:val="0"/>
              <w:spacing w:before="0" w:after="283"/>
              <w:jc w:val="center"/>
              <w:rPr>
                <w:rFonts w:ascii="Times New Roman;Times;Serif" w:hAnsi="Times New Roman;Times;Serif"/>
                <w:b/>
                <w:sz w:val="20"/>
              </w:rPr>
            </w:pPr>
            <w:bookmarkStart w:id="8" w:name="xdx_904_edei--EntityAddressAddressLine1_"/>
            <w:bookmarkEnd w:id="8"/>
            <w:r>
              <w:rPr>
                <w:rFonts w:ascii="Times New Roman;Times;Serif" w:hAnsi="Times New Roman;Times;Serif"/>
                <w:b/>
                <w:sz w:val="20"/>
              </w:rPr>
              <w:t>13355 Noel Road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sz w:val="4"/>
                <w:szCs w:val="4"/>
              </w:rPr>
            </w:pPr>
            <w:r>
              <w:rPr>
                <w:sz w:val="4"/>
                <w:szCs w:val="4"/>
              </w:rPr>
            </w:r>
          </w:p>
        </w:tc>
      </w:tr>
      <w:tr>
        <w:trPr/>
        <w:tc>
          <w:tcPr>
            <w:tcW w:w="3185" w:type="dxa"/>
            <w:tcBorders/>
            <w:vAlign w:val="center"/>
          </w:tcPr>
          <w:p>
            <w:pPr>
              <w:pStyle w:val="TableContents"/>
              <w:bidi w:val="0"/>
              <w:spacing w:before="0" w:after="283"/>
              <w:jc w:val="center"/>
              <w:rPr>
                <w:rFonts w:ascii="Times New Roman;Times;Serif" w:hAnsi="Times New Roman;Times;Serif"/>
                <w:b/>
                <w:sz w:val="20"/>
              </w:rPr>
            </w:pPr>
            <w:bookmarkStart w:id="9" w:name="xdx_90C_edei--EntityAddressCityOrTown_c2"/>
            <w:bookmarkEnd w:id="9"/>
            <w:r>
              <w:rPr>
                <w:rFonts w:ascii="Times New Roman;Times;Serif" w:hAnsi="Times New Roman;Times;Serif"/>
                <w:b/>
                <w:sz w:val="20"/>
              </w:rPr>
              <w:t xml:space="preserve">Dallas, </w:t>
            </w:r>
            <w:bookmarkStart w:id="10" w:name="xdx_90A_edei--EntityAddressStateOrProvin"/>
            <w:bookmarkEnd w:id="10"/>
            <w:r>
              <w:rPr>
                <w:rFonts w:ascii="Times New Roman;Times;Serif" w:hAnsi="Times New Roman;Times;Serif"/>
                <w:b/>
                <w:sz w:val="20"/>
              </w:rPr>
              <w:t>Texas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center"/>
              <w:rPr>
                <w:rFonts w:ascii="Times New Roman;Times;Serif" w:hAnsi="Times New Roman;Times;Serif"/>
                <w:b/>
                <w:sz w:val="20"/>
              </w:rPr>
            </w:pPr>
            <w:bookmarkStart w:id="11" w:name="xdx_901_edei--EntityAddressPostalZipCode"/>
            <w:bookmarkEnd w:id="11"/>
            <w:r>
              <w:rPr>
                <w:rFonts w:ascii="Times New Roman;Times;Serif" w:hAnsi="Times New Roman;Times;Serif"/>
                <w:b/>
                <w:sz w:val="20"/>
              </w:rPr>
              <w:t>75240</w:t>
            </w:r>
          </w:p>
        </w:tc>
      </w:tr>
      <w:tr>
        <w:trPr/>
        <w:tc>
          <w:tcPr>
            <w:tcW w:w="318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(Address of principal executive offices)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r>
        <w:rPr>
          <w:rFonts w:ascii="Times New Roman;Times;Serif" w:hAnsi="Times New Roman;Times;Serif"/>
          <w:b/>
          <w:i w:val="false"/>
          <w:caps w:val="false"/>
          <w:smallCaps w:val="false"/>
          <w:sz w:val="20"/>
        </w:rPr>
        <w:t>(</w:t>
      </w:r>
      <w:bookmarkStart w:id="12" w:name="xdx_900_edei--CityAreaCode_c20260914__20"/>
      <w:bookmarkEnd w:id="12"/>
      <w:r>
        <w:rPr>
          <w:rFonts w:ascii="Times New Roman;Times;Serif" w:hAnsi="Times New Roman;Times;Serif"/>
          <w:b/>
          <w:i w:val="false"/>
          <w:caps w:val="false"/>
          <w:smallCaps w:val="false"/>
          <w:sz w:val="20"/>
        </w:rPr>
        <w:t xml:space="preserve">972) </w:t>
      </w:r>
      <w:bookmarkStart w:id="13" w:name="xdx_909_edei--LocalPhoneNumber_c20260914"/>
      <w:bookmarkEnd w:id="13"/>
      <w:r>
        <w:rPr>
          <w:rFonts w:ascii="Times New Roman;Times;Serif" w:hAnsi="Times New Roman;Times;Serif"/>
          <w:b/>
          <w:i w:val="false"/>
          <w:caps w:val="false"/>
          <w:smallCaps w:val="false"/>
          <w:sz w:val="20"/>
        </w:rPr>
        <w:t>788-1000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jc w:val="center"/>
        <w:rPr>
          <w:caps w:val="false"/>
          <w:smallCaps w:val="false"/>
        </w:rPr>
      </w:pPr>
      <w:r>
        <w:rPr>
          <w:caps w:val="false"/>
          <w:smallCaps w:val="false"/>
        </w:rPr>
        <w:t> </w:t>
      </w:r>
    </w:p>
    <w:p>
      <w:pPr>
        <w:pStyle w:val="TextBody"/>
        <w:bidi w:val="0"/>
        <w:spacing w:before="60" w:after="60"/>
        <w:ind w:left="60" w:right="60" w:hanging="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432"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caps w:val="false"/>
          <w:smallCaps w:val="false"/>
        </w:rPr>
      </w:pPr>
      <w:bookmarkStart w:id="14" w:name="xdx_908_edei--WrittenCommunications_c202"/>
      <w:bookmarkEnd w:id="14"/>
      <w:r>
        <w:rPr>
          <w:caps w:val="false"/>
          <w:smallCaps w:val="false"/>
        </w:rPr>
        <w:t xml:space="preserve">☐  </w:t>
      </w:r>
      <w:r>
        <w:rPr>
          <w:rFonts w:ascii="Times New Roman;Times;Serif" w:hAnsi="Times New Roman;Times;Serif"/>
          <w:b w:val="false"/>
          <w:i w:val="false"/>
          <w:caps w:val="false"/>
          <w:smallCaps w:val="false"/>
          <w:sz w:val="20"/>
        </w:rPr>
        <w:t>Written communications pursuant to Rule 425 under the Securities Act (17 CFR 230.425)</w:t>
      </w:r>
    </w:p>
    <w:p>
      <w:pPr>
        <w:pStyle w:val="TextBody"/>
        <w:bidi w:val="0"/>
        <w:spacing w:before="0" w:after="0"/>
        <w:jc w:val="both"/>
        <w:rPr>
          <w:caps w:val="false"/>
          <w:smallCaps w:val="false"/>
        </w:rPr>
      </w:pPr>
      <w:bookmarkStart w:id="15" w:name="xdx_905_edei--SolicitingMaterial_c202609"/>
      <w:bookmarkEnd w:id="15"/>
      <w:r>
        <w:rPr>
          <w:caps w:val="false"/>
          <w:smallCaps w:val="false"/>
        </w:rPr>
        <w:t xml:space="preserve">☐  </w:t>
      </w:r>
      <w:r>
        <w:rPr>
          <w:rFonts w:ascii="Times New Roman;Times;Serif" w:hAnsi="Times New Roman;Times;Serif"/>
          <w:b w:val="false"/>
          <w:i w:val="false"/>
          <w:caps w:val="false"/>
          <w:smallCaps w:val="false"/>
          <w:sz w:val="20"/>
        </w:rPr>
        <w:t>Soliciting material pursuant to Rule 14a-12 under the Exchange Act (17 CFR 240.14a-12)</w:t>
      </w:r>
    </w:p>
    <w:p>
      <w:pPr>
        <w:pStyle w:val="TextBody"/>
        <w:bidi w:val="0"/>
        <w:spacing w:before="0" w:after="0"/>
        <w:jc w:val="both"/>
        <w:rPr>
          <w:caps w:val="false"/>
          <w:smallCaps w:val="false"/>
        </w:rPr>
      </w:pPr>
      <w:bookmarkStart w:id="16" w:name="xdx_90A_edei--PreCommencementTenderOffer"/>
      <w:bookmarkEnd w:id="16"/>
      <w:r>
        <w:rPr>
          <w:caps w:val="false"/>
          <w:smallCaps w:val="false"/>
        </w:rPr>
        <w:t xml:space="preserve">☐  </w:t>
      </w:r>
      <w:r>
        <w:rPr>
          <w:rFonts w:ascii="Times New Roman;Times;Serif" w:hAnsi="Times New Roman;Times;Serif"/>
          <w:b w:val="false"/>
          <w:i w:val="false"/>
          <w:caps w:val="false"/>
          <w:smallCaps w:val="false"/>
          <w:sz w:val="20"/>
        </w:rPr>
        <w:t>Pre-commencement communications pursuant to Rule 14d-2(b) under the Exchange Act (17 CFR 240.14d-2(b))</w:t>
      </w:r>
    </w:p>
    <w:p>
      <w:pPr>
        <w:pStyle w:val="TextBody"/>
        <w:bidi w:val="0"/>
        <w:spacing w:before="0" w:after="0"/>
        <w:jc w:val="both"/>
        <w:rPr>
          <w:caps w:val="false"/>
          <w:smallCaps w:val="false"/>
        </w:rPr>
      </w:pPr>
      <w:bookmarkStart w:id="17" w:name="xdx_909_edei--PreCommencementIssuerTende"/>
      <w:bookmarkEnd w:id="17"/>
      <w:r>
        <w:rPr>
          <w:caps w:val="false"/>
          <w:smallCaps w:val="false"/>
        </w:rPr>
        <w:t xml:space="preserve">☐  </w:t>
      </w:r>
      <w:r>
        <w:rPr>
          <w:rFonts w:ascii="Times New Roman;Times;Serif" w:hAnsi="Times New Roman;Times;Serif"/>
          <w:b w:val="false"/>
          <w:i w:val="false"/>
          <w:caps w:val="false"/>
          <w:smallCaps w:val="false"/>
          <w:sz w:val="20"/>
        </w:rPr>
        <w:t>Pre-commencement communications pursuant to Rule 13e-4(c) under the Exchange Act (17 CFR 240.13e-4(c))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055" w:type="dxa"/>
        <w:jc w:val="left"/>
        <w:tblInd w:w="0" w:type="dxa"/>
        <w:tblLayout w:type="fixed"/>
        <w:tblCellMar>
          <w:top w:w="0" w:type="dxa"/>
          <w:left w:w="0" w:type="dxa"/>
          <w:bottom w:w="28" w:type="dxa"/>
          <w:right w:w="0" w:type="dxa"/>
        </w:tblCellMar>
      </w:tblPr>
      <w:tblGrid>
        <w:gridCol w:w="2630"/>
        <w:gridCol w:w="60"/>
        <w:gridCol w:w="1610"/>
        <w:gridCol w:w="60"/>
        <w:gridCol w:w="3695"/>
      </w:tblGrid>
      <w:tr>
        <w:trPr/>
        <w:tc>
          <w:tcPr>
            <w:tcW w:w="263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161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Symbol(s)</w:t>
            </w:r>
          </w:p>
        </w:tc>
        <w:tc>
          <w:tcPr>
            <w:tcW w:w="60" w:type="dxa"/>
            <w:tcBorders/>
            <w:tcMar>
              <w:bottom w:w="0" w:type="dxa"/>
            </w:tcMar>
            <w:vAlign w:val="center"/>
          </w:tcPr>
          <w:p>
            <w:pPr>
              <w:pStyle w:val="TableContents"/>
              <w:bidi w:val="0"/>
              <w:spacing w:before="0" w:after="283"/>
              <w:jc w:val="center"/>
              <w:rPr/>
            </w:pPr>
            <w:r>
              <w:rPr/>
              <w:t> </w:t>
            </w:r>
          </w:p>
        </w:tc>
        <w:tc>
          <w:tcPr>
            <w:tcW w:w="369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of each exchange on which registered</w:t>
            </w:r>
          </w:p>
        </w:tc>
      </w:tr>
      <w:tr>
        <w:trPr/>
        <w:tc>
          <w:tcPr>
            <w:tcW w:w="263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8" w:name="xdx_90A_edei--Security12bTitle_c20260914"/>
            <w:bookmarkEnd w:id="18"/>
            <w:r>
              <w:rPr>
                <w:rFonts w:ascii="Times New Roman;Times;Serif" w:hAnsi="Times New Roman;Times;Serif"/>
                <w:b w:val="false"/>
                <w:i w:val="false"/>
                <w:caps w:val="false"/>
                <w:smallCaps w:val="false"/>
                <w:sz w:val="20"/>
              </w:rPr>
              <w:t>Common Stock, $0.01 par value</w:t>
            </w:r>
          </w:p>
        </w:tc>
        <w:tc>
          <w:tcPr>
            <w:tcW w:w="60" w:type="dxa"/>
            <w:tcBorders/>
            <w:tcMar>
              <w:bottom w:w="0" w:type="dxa"/>
            </w:tcMar>
            <w:vAlign w:val="center"/>
          </w:tcPr>
          <w:p>
            <w:pPr>
              <w:pStyle w:val="TableContents"/>
              <w:bidi w:val="0"/>
              <w:spacing w:before="0" w:after="283"/>
              <w:jc w:val="center"/>
              <w:rPr/>
            </w:pPr>
            <w:r>
              <w:rPr/>
              <w:t> </w:t>
            </w:r>
          </w:p>
        </w:tc>
        <w:tc>
          <w:tcPr>
            <w:tcW w:w="161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F_edei--TradingSymbol_c20260914__2"/>
            <w:bookmarkEnd w:id="19"/>
            <w:r>
              <w:rPr>
                <w:rFonts w:ascii="Times New Roman;Times;Serif" w:hAnsi="Times New Roman;Times;Serif"/>
                <w:b w:val="false"/>
                <w:i w:val="false"/>
                <w:caps w:val="false"/>
                <w:smallCaps w:val="false"/>
                <w:sz w:val="20"/>
              </w:rPr>
              <w:t>ACM</w:t>
            </w:r>
          </w:p>
        </w:tc>
        <w:tc>
          <w:tcPr>
            <w:tcW w:w="60" w:type="dxa"/>
            <w:tcBorders/>
            <w:tcMar>
              <w:bottom w:w="0" w:type="dxa"/>
            </w:tcMar>
            <w:vAlign w:val="center"/>
          </w:tcPr>
          <w:p>
            <w:pPr>
              <w:pStyle w:val="TableContents"/>
              <w:bidi w:val="0"/>
              <w:spacing w:before="0" w:after="283"/>
              <w:jc w:val="center"/>
              <w:rPr/>
            </w:pPr>
            <w:r>
              <w:rPr/>
              <w:t> </w:t>
            </w:r>
          </w:p>
        </w:tc>
        <w:tc>
          <w:tcPr>
            <w:tcW w:w="369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3_edei--SecurityExchangeName_c2026"/>
            <w:bookmarkEnd w:id="20"/>
            <w:r>
              <w:rPr>
                <w:rFonts w:ascii="Times New Roman;Times;Serif" w:hAnsi="Times New Roman;Times;Serif"/>
                <w:b w:val="false"/>
                <w:i w:val="false"/>
                <w:caps w:val="false"/>
                <w:smallCaps w:val="false"/>
                <w:sz w:val="20"/>
              </w:rPr>
              <w:t>New York Stock Exchange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360" w:hanging="0"/>
        <w:jc w:val="left"/>
        <w:rPr>
          <w:sz w:val="20"/>
        </w:rPr>
      </w:pPr>
      <w:r>
        <w:rPr>
          <w:rFonts w:ascii="Times New Roman;Times;Serif" w:hAnsi="Times New Roman;Times;Serif"/>
          <w:b w:val="false"/>
          <w:i w:val="false"/>
          <w:caps w:val="false"/>
          <w:smallCaps w:val="false"/>
          <w:sz w:val="20"/>
        </w:rPr>
        <w:t>Emerging growth company   </w:t>
      </w:r>
      <w:bookmarkStart w:id="21" w:name="xdx_906_edei--EntityEmergingGrowthCompan"/>
      <w:bookmarkEnd w:id="21"/>
      <w:r>
        <w:rPr>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Item 5.02.</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Departure of Directors or Certain Officers; Election of Directors; Appointment of Certain Officers; Compensatory Arrangements of Certain Officers.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14, 2026, David Gan, Chief Legal Officer of AECOM (the “Company”), provided notice of his decision to retire from the Company. Mr. Gan will continue in his role through October 2, 2026 (the “Transition Date”), after which he will serve as Senior Advisor to the Company (“Senior Advisor”) to assist with the transition of the role and special initiatives until his retirement from the Company in the second half of 2027 (the “Retirement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Senior Advisor, Mr. Gan will continue to receive his existing base salary until the Retirement Date. Mr. Gan will remain eligible to receive an annual incentive bonus under the Executive Incentive Plan for fiscal year 2026, but he will not participate in the Company’s annual or long-term incentive programs in fiscal year 2027.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Manav Kumar, the Company’s General Counsel, Corporate and Global Head of Public Affairs will succeed Mr. Gan as Chief Legal Officer, effective as of the Transition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Mr. Kumar, age 42, has served as General Counsel, Corporate and Global Head of Public Affairs since December 2024. He previously served as Senior Vice President, Deputy General Counsel and Global Head of Public Affairs from March 2023 to November 2024, and as Senior Vice President, Deputy General Counsel from January 2020 to February 2023. Prior to joining AECOM, Mr. Kumar served as Deputy Counsel to the Mayor of Los Angeles and Chief Olympics Officer for the City of Los Angeles during its successful pursuit of the 2028 Olympic and Paralympic Games. Earlier in his career, he held foreign policy roles in the U.S. Senate, clerked on the U.S. Court of Appeals for the Ninth Circuit, and practiced law at Arnold &amp; Porter LLP and Caldwell Leslie &amp; Proctor PC. Mr. Kumar earned an A.B. from Harvard College and a J.D. from Yale Law School.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5775" w:type="dxa"/>
        <w:jc w:val="left"/>
        <w:tblInd w:w="0" w:type="dxa"/>
        <w:tblLayout w:type="fixed"/>
        <w:tblCellMar>
          <w:top w:w="0" w:type="dxa"/>
          <w:left w:w="0" w:type="dxa"/>
          <w:bottom w:w="0" w:type="dxa"/>
          <w:right w:w="0" w:type="dxa"/>
        </w:tblCellMar>
      </w:tblPr>
      <w:tblGrid>
        <w:gridCol w:w="2285"/>
        <w:gridCol w:w="320"/>
        <w:gridCol w:w="3170"/>
      </w:tblGrid>
      <w:tr>
        <w:trPr/>
        <w:tc>
          <w:tcPr>
            <w:tcW w:w="2285" w:type="dxa"/>
            <w:tcBorders/>
            <w:vAlign w:val="center"/>
          </w:tcPr>
          <w:p>
            <w:pPr>
              <w:pStyle w:val="TableContents"/>
              <w:bidi w:val="0"/>
              <w:spacing w:before="0" w:after="283"/>
              <w:jc w:val="center"/>
              <w:rPr/>
            </w:pPr>
            <w:r>
              <w:rPr/>
              <w:t> </w:t>
            </w:r>
          </w:p>
        </w:tc>
        <w:tc>
          <w:tcPr>
            <w:tcW w:w="3490" w:type="dxa"/>
            <w:gridSpan w:val="2"/>
            <w:tcBorders/>
            <w:vAlign w:val="center"/>
          </w:tcPr>
          <w:p>
            <w:pPr>
              <w:pStyle w:val="TableContents"/>
              <w:bidi w:val="0"/>
              <w:spacing w:before="0" w:after="283"/>
              <w:jc w:val="left"/>
              <w:rPr/>
            </w:pPr>
            <w:r>
              <w:rPr/>
              <w:t>AECOM</w:t>
            </w:r>
          </w:p>
        </w:tc>
      </w:tr>
      <w:tr>
        <w:trPr/>
        <w:tc>
          <w:tcPr>
            <w:tcW w:w="2285" w:type="dxa"/>
            <w:tcBorders/>
            <w:vAlign w:val="center"/>
          </w:tcPr>
          <w:p>
            <w:pPr>
              <w:pStyle w:val="TableContents"/>
              <w:bidi w:val="0"/>
              <w:spacing w:before="0" w:after="283"/>
              <w:jc w:val="center"/>
              <w:rPr/>
            </w:pPr>
            <w:r>
              <w:rPr/>
              <w:t> </w:t>
            </w:r>
          </w:p>
        </w:tc>
        <w:tc>
          <w:tcPr>
            <w:tcW w:w="3490" w:type="dxa"/>
            <w:gridSpan w:val="2"/>
            <w:tcBorders/>
            <w:vAlign w:val="center"/>
          </w:tcPr>
          <w:p>
            <w:pPr>
              <w:pStyle w:val="TableContents"/>
              <w:bidi w:val="0"/>
              <w:spacing w:before="0" w:after="283"/>
              <w:jc w:val="left"/>
              <w:rPr>
                <w:sz w:val="4"/>
                <w:szCs w:val="4"/>
              </w:rPr>
            </w:pPr>
            <w:r>
              <w:rPr>
                <w:sz w:val="4"/>
                <w:szCs w:val="4"/>
              </w:rPr>
            </w:r>
          </w:p>
        </w:tc>
      </w:tr>
      <w:tr>
        <w:trPr/>
        <w:tc>
          <w:tcPr>
            <w:tcW w:w="22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Dated:  September 16, 2026</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170" w:type="dxa"/>
            <w:tcBorders>
              <w:bottom w:val="single" w:sz="8" w:space="0" w:color="000000"/>
            </w:tcBorders>
            <w:tcMar>
              <w:bottom w:w="28" w:type="dxa"/>
            </w:tcMar>
            <w:vAlign w:val="center"/>
          </w:tcPr>
          <w:p>
            <w:pPr>
              <w:pStyle w:val="TableContents"/>
              <w:bidi w:val="0"/>
              <w:spacing w:before="0" w:after="283"/>
              <w:jc w:val="left"/>
              <w:rPr>
                <w:sz w:val="20"/>
              </w:rPr>
            </w:pPr>
            <w:r>
              <w:rPr>
                <w:sz w:val="20"/>
              </w:rPr>
              <w:t>/s/ Gaurav Kapoor</w:t>
            </w:r>
          </w:p>
        </w:tc>
      </w:tr>
      <w:tr>
        <w:trPr/>
        <w:tc>
          <w:tcPr>
            <w:tcW w:w="2285" w:type="dxa"/>
            <w:tcBorders/>
            <w:vAlign w:val="center"/>
          </w:tcPr>
          <w:p>
            <w:pPr>
              <w:pStyle w:val="TableContents"/>
              <w:bidi w:val="0"/>
              <w:spacing w:before="0" w:after="283"/>
              <w:jc w:val="center"/>
              <w:rPr/>
            </w:pPr>
            <w:r>
              <w:rPr/>
              <w:t> </w:t>
            </w:r>
          </w:p>
        </w:tc>
        <w:tc>
          <w:tcPr>
            <w:tcW w:w="320" w:type="dxa"/>
            <w:tcBorders/>
            <w:vAlign w:val="center"/>
          </w:tcPr>
          <w:p>
            <w:pPr>
              <w:pStyle w:val="TableContents"/>
              <w:bidi w:val="0"/>
              <w:spacing w:before="0" w:after="283"/>
              <w:jc w:val="left"/>
              <w:rPr/>
            </w:pPr>
            <w:r>
              <w:rPr/>
              <w:t> </w:t>
            </w:r>
          </w:p>
        </w:tc>
        <w:tc>
          <w:tcPr>
            <w:tcW w:w="3170" w:type="dxa"/>
            <w:tcBorders/>
            <w:vAlign w:val="center"/>
          </w:tcPr>
          <w:p>
            <w:pPr>
              <w:pStyle w:val="TableContents"/>
              <w:bidi w:val="0"/>
              <w:spacing w:before="0" w:after="283"/>
              <w:jc w:val="left"/>
              <w:rPr>
                <w:sz w:val="20"/>
              </w:rPr>
            </w:pPr>
            <w:r>
              <w:rPr>
                <w:sz w:val="20"/>
              </w:rPr>
              <w:t>Gaurav Kapoor</w:t>
            </w:r>
          </w:p>
        </w:tc>
      </w:tr>
      <w:tr>
        <w:trPr/>
        <w:tc>
          <w:tcPr>
            <w:tcW w:w="2285" w:type="dxa"/>
            <w:tcBorders/>
            <w:vAlign w:val="center"/>
          </w:tcPr>
          <w:p>
            <w:pPr>
              <w:pStyle w:val="TableContents"/>
              <w:bidi w:val="0"/>
              <w:spacing w:before="0" w:after="283"/>
              <w:jc w:val="center"/>
              <w:rPr/>
            </w:pPr>
            <w:r>
              <w:rPr/>
              <w:t> </w:t>
            </w:r>
          </w:p>
        </w:tc>
        <w:tc>
          <w:tcPr>
            <w:tcW w:w="320" w:type="dxa"/>
            <w:tcBorders/>
            <w:vAlign w:val="center"/>
          </w:tcPr>
          <w:p>
            <w:pPr>
              <w:pStyle w:val="TableContents"/>
              <w:bidi w:val="0"/>
              <w:spacing w:before="0" w:after="283"/>
              <w:jc w:val="left"/>
              <w:rPr/>
            </w:pPr>
            <w:r>
              <w:rPr/>
              <w:t> </w:t>
            </w:r>
          </w:p>
        </w:tc>
        <w:tc>
          <w:tcPr>
            <w:tcW w:w="3170" w:type="dxa"/>
            <w:tcBorders/>
            <w:vAlign w:val="center"/>
          </w:tcPr>
          <w:p>
            <w:pPr>
              <w:pStyle w:val="TableContents"/>
              <w:bidi w:val="0"/>
              <w:spacing w:before="0" w:after="283"/>
              <w:jc w:val="left"/>
              <w:rPr>
                <w:sz w:val="20"/>
              </w:rPr>
            </w:pPr>
            <w:r>
              <w:rPr>
                <w:sz w:val="20"/>
              </w:rPr>
              <w:t>Chief Financial and Operations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672</Words>
  <Characters>3556</Characters>
  <CharactersWithSpaces>4259</CharactersWithSpaces>
  <Paragraphs>124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