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5416d2_8k.htm"/>
      <w:bookmarkStart w:id="1" w:name="kstm2625416d2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FORM </w:t>
      </w:r>
      <w:bookmarkStart w:id="2" w:name="xdx_90A_edei--DocumentType_c20260917__20"/>
      <w:bookmarkEnd w:id="2"/>
      <w:r>
        <w:rPr>
          <w:rFonts w:ascii="Times New Roman;Times;Serif" w:hAnsi="Times New Roman;Times;Serif"/>
          <w:b/>
          <w:i w:val="false"/>
          <w:caps w:val="false"/>
          <w:smallCaps w:val="false"/>
          <w:sz w:val="2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 xml:space="preserve">September 17,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5_edei--EntityRegistrantName_c2026"/>
      <w:bookmarkEnd w:id="4"/>
      <w:r>
        <w:rPr>
          <w:rFonts w:ascii="Times New Roman;Times;Serif" w:hAnsi="Times New Roman;Times;Serif"/>
          <w:b/>
          <w:i w:val="false"/>
          <w:caps w:val="false"/>
          <w:smallCaps w:val="false"/>
          <w:sz w:val="28"/>
        </w:rPr>
        <w:t>AECOM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left"/>
        <w:rPr/>
      </w:pPr>
      <w:r>
        <w:rPr/>
        <w:t> </w:t>
      </w:r>
    </w:p>
    <w:tbl>
      <w:tblPr>
        <w:tblW w:w="4935" w:type="dxa"/>
        <w:jc w:val="left"/>
        <w:tblInd w:w="0" w:type="dxa"/>
        <w:tblLayout w:type="fixed"/>
        <w:tblCellMar>
          <w:top w:w="0" w:type="dxa"/>
          <w:left w:w="0" w:type="dxa"/>
          <w:bottom w:w="0" w:type="dxa"/>
          <w:right w:w="0" w:type="dxa"/>
        </w:tblCellMar>
      </w:tblPr>
      <w:tblGrid>
        <w:gridCol w:w="2195"/>
        <w:gridCol w:w="60"/>
        <w:gridCol w:w="1100"/>
        <w:gridCol w:w="60"/>
        <w:gridCol w:w="1520"/>
      </w:tblGrid>
      <w:tr>
        <w:trPr/>
        <w:tc>
          <w:tcPr>
            <w:tcW w:w="21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917"/>
            <w:bookmarkEnd w:id="6"/>
            <w:r>
              <w:rPr>
                <w:rFonts w:ascii="Times New Roman;Times;Serif" w:hAnsi="Times New Roman;Times;Serif"/>
                <w:b/>
                <w:i w:val="false"/>
                <w:caps w:val="false"/>
                <w:smallCaps w:val="false"/>
                <w:sz w:val="20"/>
              </w:rPr>
              <w:t>0-52423</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61-1088522</w:t>
            </w:r>
          </w:p>
        </w:tc>
      </w:tr>
      <w:tr>
        <w:trPr/>
        <w:tc>
          <w:tcPr>
            <w:tcW w:w="21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730"/>
        <w:gridCol w:w="60"/>
        <w:gridCol w:w="60"/>
        <w:gridCol w:w="60"/>
        <w:gridCol w:w="905"/>
      </w:tblGrid>
      <w:tr>
        <w:trPr/>
        <w:tc>
          <w:tcPr>
            <w:tcW w:w="1730" w:type="dxa"/>
            <w:tcBorders/>
            <w:vAlign w:val="center"/>
          </w:tcPr>
          <w:p>
            <w:pPr>
              <w:pStyle w:val="TableContents"/>
              <w:bidi w:val="0"/>
              <w:spacing w:before="0" w:after="283"/>
              <w:jc w:val="center"/>
              <w:rPr>
                <w:rFonts w:ascii="Times New Roman;Times;Serif" w:hAnsi="Times New Roman;Times;Serif"/>
                <w:b/>
                <w:sz w:val="20"/>
              </w:rPr>
            </w:pPr>
            <w:bookmarkStart w:id="8" w:name="xdx_90E_edei--EntityAddressAddressLine1_"/>
            <w:bookmarkEnd w:id="8"/>
            <w:r>
              <w:rPr>
                <w:rFonts w:ascii="Times New Roman;Times;Serif" w:hAnsi="Times New Roman;Times;Serif"/>
                <w:b/>
                <w:sz w:val="20"/>
              </w:rPr>
              <w:t>13355 Noel Road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283"/>
              <w:jc w:val="center"/>
              <w:rPr>
                <w:rFonts w:ascii="Times New Roman;Times;Serif" w:hAnsi="Times New Roman;Times;Serif"/>
                <w:b/>
                <w:sz w:val="20"/>
              </w:rPr>
            </w:pPr>
            <w:bookmarkStart w:id="9" w:name="xdx_90D_edei--EntityAddressCityOrTown_c2"/>
            <w:bookmarkEnd w:id="9"/>
            <w:r>
              <w:rPr>
                <w:rFonts w:ascii="Times New Roman;Times;Serif" w:hAnsi="Times New Roman;Times;Serif"/>
                <w:b/>
                <w:sz w:val="20"/>
              </w:rPr>
              <w:t xml:space="preserve">Dallas, </w:t>
            </w:r>
            <w:bookmarkStart w:id="10" w:name="xdx_90E_edei--EntityAddressStateOrProvin"/>
            <w:bookmarkEnd w:id="10"/>
            <w:r>
              <w:rPr>
                <w:rFonts w:ascii="Times New Roman;Times;Serif" w:hAnsi="Times New Roman;Times;Serif"/>
                <w:b/>
                <w:sz w:val="20"/>
              </w:rPr>
              <w:t>Texas 75240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1" w:name="xdx_902_edei--EntityAddressPostalZipCode"/>
            <w:bookmarkEnd w:id="11"/>
            <w:r>
              <w:rPr>
                <w:rFonts w:ascii="Times New Roman;Times;Serif" w:hAnsi="Times New Roman;Times;Serif"/>
                <w:b/>
                <w:sz w:val="20"/>
              </w:rPr>
              <w:t>75240</w:t>
            </w:r>
          </w:p>
        </w:tc>
      </w:tr>
      <w:tr>
        <w:trPr/>
        <w:tc>
          <w:tcPr>
            <w:tcW w:w="1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w:t>
              <w:br/>
              <w:t>Executive Offices)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B_edei--CityAreaCode_c20260917__20"/>
      <w:bookmarkEnd w:id="12"/>
      <w:r>
        <w:rPr>
          <w:rFonts w:ascii="Times New Roman;Times;Serif" w:hAnsi="Times New Roman;Times;Serif"/>
          <w:b/>
          <w:i w:val="false"/>
          <w:caps w:val="false"/>
          <w:smallCaps w:val="false"/>
          <w:sz w:val="20"/>
        </w:rPr>
        <w:t xml:space="preserve">972) </w:t>
      </w:r>
      <w:bookmarkStart w:id="13" w:name="xdx_90B_edei--LocalPhoneNumber_c20260917"/>
      <w:bookmarkEnd w:id="13"/>
      <w:r>
        <w:rPr>
          <w:rFonts w:ascii="Times New Roman;Times;Serif" w:hAnsi="Times New Roman;Times;Serif"/>
          <w:b/>
          <w:i w:val="false"/>
          <w:caps w:val="false"/>
          <w:smallCaps w:val="false"/>
          <w:sz w:val="20"/>
        </w:rPr>
        <w:t>788-1000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bookmarkStart w:id="14" w:name="xdx_900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jc w:val="both"/>
        <w:rPr>
          <w:caps w:val="false"/>
          <w:smallCaps w:val="false"/>
        </w:rPr>
      </w:pPr>
      <w:bookmarkStart w:id="15" w:name="xdx_906_edei--SolicitingMaterial_c202609"/>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jc w:val="both"/>
        <w:rPr>
          <w:caps w:val="false"/>
          <w:smallCaps w:val="false"/>
        </w:rPr>
      </w:pPr>
      <w:bookmarkStart w:id="16" w:name="xdx_90C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14d-(b) under the Exchange Act (17 CFR 240.14d-2(b))</w:t>
      </w:r>
    </w:p>
    <w:p>
      <w:pPr>
        <w:pStyle w:val="TextBody"/>
        <w:bidi w:val="0"/>
        <w:spacing w:before="0" w:after="0"/>
        <w:jc w:val="both"/>
        <w:rPr>
          <w:caps w:val="false"/>
          <w:smallCaps w:val="false"/>
        </w:rPr>
      </w:pPr>
      <w:bookmarkStart w:id="17" w:name="xdx_90A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tblLayout w:type="fixed"/>
        <w:tblCellMar>
          <w:top w:w="0" w:type="dxa"/>
          <w:left w:w="0" w:type="dxa"/>
          <w:bottom w:w="28" w:type="dxa"/>
          <w:right w:w="0" w:type="dxa"/>
        </w:tblCellMar>
      </w:tblPr>
      <w:tblGrid>
        <w:gridCol w:w="2630"/>
        <w:gridCol w:w="60"/>
        <w:gridCol w:w="1610"/>
        <w:gridCol w:w="60"/>
        <w:gridCol w:w="3695"/>
      </w:tblGrid>
      <w:tr>
        <w:trPr/>
        <w:tc>
          <w:tcPr>
            <w:tcW w:w="26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6_edei--Security12bTitle_c20260917"/>
            <w:bookmarkEnd w:id="18"/>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TradingSymbol_c20260917__2"/>
            <w:bookmarkEnd w:id="19"/>
            <w:r>
              <w:rPr>
                <w:rFonts w:ascii="Times New Roman;Times;Serif" w:hAnsi="Times New Roman;Times;Serif"/>
                <w:b w:val="false"/>
                <w:i w:val="false"/>
                <w:caps w:val="false"/>
                <w:smallCaps w:val="false"/>
                <w:sz w:val="20"/>
              </w:rPr>
              <w:t>ACM</w:t>
            </w:r>
          </w:p>
        </w:tc>
        <w:tc>
          <w:tcPr>
            <w:tcW w:w="60" w:type="dxa"/>
            <w:tcBorders/>
            <w:tcMar>
              <w:bottom w:w="0" w:type="dxa"/>
            </w:tcMar>
            <w:vAlign w:val="center"/>
          </w:tcPr>
          <w:p>
            <w:pPr>
              <w:pStyle w:val="TableContents"/>
              <w:bidi w:val="0"/>
              <w:spacing w:before="0" w:after="283"/>
              <w:jc w:val="center"/>
              <w:rPr/>
            </w:pPr>
            <w:r>
              <w:rPr/>
              <w:t> </w:t>
            </w:r>
          </w:p>
        </w:tc>
        <w:tc>
          <w:tcPr>
            <w:tcW w:w="36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360" w:hanging="0"/>
        <w:jc w:val="left"/>
        <w:rPr>
          <w:sz w:val="20"/>
        </w:rPr>
      </w:pPr>
      <w:r>
        <w:rPr>
          <w:rFonts w:ascii="Times New Roman;Times;Serif" w:hAnsi="Times New Roman;Times;Serif"/>
          <w:b w:val="false"/>
          <w:i w:val="false"/>
          <w:caps w:val="false"/>
          <w:smallCaps w:val="false"/>
          <w:sz w:val="20"/>
        </w:rPr>
        <w:t>Emerging Growth Company   </w:t>
      </w:r>
      <w:bookmarkStart w:id="21" w:name="xdx_909_edei--EntityEmergingGrowthCompan"/>
      <w:bookmarkEnd w:id="21"/>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AECOM announced that its Board of Directors has declared a quarterly cash dividend of $0.31 per share as part of the Company’s ongoing quarterly dividend program. The dividend is payable on October 30, 2026 to stockholders of record as of the close of business on October 14, 2026. The declaration and payment of future dividends are subject to the sole discretion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announcing the declaration of a cash dividend is attached hereto as Exhibit 99.1 and incorporated herein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455"/>
        <w:gridCol w:w="8435"/>
      </w:tblGrid>
      <w:tr>
        <w:trPr/>
        <w:tc>
          <w:tcPr>
            <w:tcW w:w="455" w:type="dxa"/>
            <w:tcBorders/>
            <w:vAlign w:val="center"/>
          </w:tcPr>
          <w:p>
            <w:pPr>
              <w:pStyle w:val="TableContents"/>
              <w:bidi w:val="0"/>
              <w:spacing w:before="0" w:after="283"/>
              <w:jc w:val="left"/>
              <w:rPr/>
            </w:pPr>
            <w:hyperlink w:anchor="tm2625416d2_ex99-1.htm">
              <w:r>
                <w:rPr>
                  <w:rStyle w:val="InternetLink"/>
                </w:rPr>
                <w:t>99.1</w:t>
              </w:r>
            </w:hyperlink>
          </w:p>
        </w:tc>
        <w:tc>
          <w:tcPr>
            <w:tcW w:w="8435" w:type="dxa"/>
            <w:tcBorders/>
            <w:vAlign w:val="center"/>
          </w:tcPr>
          <w:p>
            <w:pPr>
              <w:pStyle w:val="TableContents"/>
              <w:bidi w:val="0"/>
              <w:spacing w:before="0" w:after="283"/>
              <w:jc w:val="both"/>
              <w:rPr/>
            </w:pPr>
            <w:hyperlink w:anchor="tm2625416d2_ex99-1.htm">
              <w:r>
                <w:rPr>
                  <w:rStyle w:val="InternetLink"/>
                </w:rPr>
                <w:t>Press Release, dated September 17, 2026 entitled “AECOM declares quarterly dividend”</w:t>
              </w:r>
            </w:hyperlink>
          </w:p>
        </w:tc>
      </w:tr>
      <w:tr>
        <w:trPr/>
        <w:tc>
          <w:tcPr>
            <w:tcW w:w="455" w:type="dxa"/>
            <w:tcBorders/>
            <w:vAlign w:val="center"/>
          </w:tcPr>
          <w:p>
            <w:pPr>
              <w:pStyle w:val="TableContents"/>
              <w:bidi w:val="0"/>
              <w:spacing w:before="0" w:after="283"/>
              <w:jc w:val="left"/>
              <w:rPr/>
            </w:pPr>
            <w:r>
              <w:rPr/>
              <w:t>104</w:t>
            </w:r>
          </w:p>
        </w:tc>
        <w:tc>
          <w:tcPr>
            <w:tcW w:w="843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thereto duly authorized.</w:t>
      </w:r>
    </w:p>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2240"/>
        <w:gridCol w:w="365"/>
        <w:gridCol w:w="3725"/>
      </w:tblGrid>
      <w:tr>
        <w:trPr/>
        <w:tc>
          <w:tcPr>
            <w:tcW w:w="2240"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AECOM</w:t>
            </w:r>
          </w:p>
        </w:tc>
      </w:tr>
      <w:tr>
        <w:trPr/>
        <w:tc>
          <w:tcPr>
            <w:tcW w:w="2240"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sz w:val="20"/>
              </w:rPr>
            </w:pPr>
            <w:r>
              <w:rPr>
                <w:sz w:val="20"/>
              </w:rPr>
              <w:t>Dated: September 17,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Y. Gan</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Y. Gan</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Chief Legal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5416d2_ex99-1.htm"/>
      <w:bookmarkStart w:id="23" w:name="kstm2625416d2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2573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390525"/>
                    </a:xfrm>
                    <a:prstGeom prst="rect">
                      <a:avLst/>
                    </a:prstGeom>
                  </pic:spPr>
                </pic:pic>
              </a:graphicData>
            </a:graphic>
          </wp:inline>
        </w:drawing>
      </w:r>
      <w:r>
        <w:rPr/>
        <w:t> </w:t>
      </w:r>
    </w:p>
    <w:p>
      <w:pPr>
        <w:pStyle w:val="TextBody"/>
        <w:bidi w:val="0"/>
        <w:spacing w:before="0" w:after="283"/>
        <w:jc w:val="left"/>
        <w:rPr/>
      </w:pPr>
      <w:r>
        <w:rPr/>
        <w:t> </w:t>
      </w:r>
    </w:p>
    <w:tbl>
      <w:tblPr>
        <w:tblW w:w="8370" w:type="dxa"/>
        <w:jc w:val="left"/>
        <w:tblInd w:w="0" w:type="dxa"/>
        <w:tblLayout w:type="fixed"/>
        <w:tblCellMar>
          <w:top w:w="0" w:type="dxa"/>
          <w:left w:w="0" w:type="dxa"/>
          <w:bottom w:w="0" w:type="dxa"/>
          <w:right w:w="0" w:type="dxa"/>
        </w:tblCellMar>
      </w:tblPr>
      <w:tblGrid>
        <w:gridCol w:w="1115"/>
        <w:gridCol w:w="3335"/>
        <w:gridCol w:w="3845"/>
        <w:gridCol w:w="75"/>
      </w:tblGrid>
      <w:tr>
        <w:trPr/>
        <w:tc>
          <w:tcPr>
            <w:tcW w:w="11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w:t>
            </w:r>
          </w:p>
          <w:p>
            <w:pPr>
              <w:pStyle w:val="TableContents"/>
              <w:bidi w:val="0"/>
              <w:spacing w:before="0" w:after="0"/>
              <w:ind w:left="0" w:right="0" w:hanging="0"/>
              <w:jc w:val="left"/>
              <w:rPr>
                <w:caps w:val="false"/>
                <w:smallCaps w:val="false"/>
              </w:rPr>
            </w:pPr>
            <w:r>
              <w:rPr>
                <w:caps w:val="false"/>
                <w:smallCaps w:val="false"/>
              </w:rPr>
              <w:t> </w:t>
            </w:r>
          </w:p>
        </w:tc>
        <w:tc>
          <w:tcPr>
            <w:tcW w:w="33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br/>
              <w:t>Will Gabrielski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Treasurer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213.593.8208</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William.Gabrielski@aecom.com</w:t>
            </w:r>
          </w:p>
          <w:p>
            <w:pPr>
              <w:pStyle w:val="TableContents"/>
              <w:bidi w:val="0"/>
              <w:spacing w:before="0" w:after="0"/>
              <w:ind w:left="0" w:right="0" w:hanging="0"/>
              <w:jc w:val="left"/>
              <w:rPr>
                <w:caps w:val="false"/>
                <w:smallCaps w:val="false"/>
              </w:rPr>
            </w:pPr>
            <w:r>
              <w:rPr>
                <w:caps w:val="false"/>
                <w:smallCaps w:val="false"/>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br/>
              <w:t>Brendan Ranson-Walsh</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Global Communications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213.996.2367</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Brendan.Ranson-Walsh@aecom.com</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20" w:right="1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AECOM declares quarterly dividend</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DALLAS (September 17, 2026)</w:t>
      </w:r>
      <w:r>
        <w:rPr>
          <w:rFonts w:ascii="Times New Roman;Times;Serif" w:hAnsi="Times New Roman;Times;Serif"/>
          <w:b w:val="false"/>
          <w:i w:val="false"/>
          <w:caps w:val="false"/>
          <w:smallCaps w:val="false"/>
          <w:sz w:val="20"/>
        </w:rPr>
        <w:t xml:space="preserve"> — AECOM (NYSE: ACM), the trusted global infrastructure leader, today announced that its Board of Directors has declared a quarterly cash dividend of $0.31 per share as part of its ongoing quarterly dividend program. The dividend is payable on October 30, 2026 to stockholders of record as of the close of business on 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AECOM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AECOM (NYSE: ACM) is the global infrastructure leader, committed to delivering a better world. As a trusted professional services firm powered by deep technical abilities, we solve our clients’ complex challenges in water, environment, energy, transportation and buildings. Our teams partner with public- and private-sector clients to create innovative, sustainable and resilient solutions throughout the project lifecycle – from advisory, planning, design and engineering to program and construction management. AECOM is a Fortune 500 firm that had revenue of $16.1 billion in fiscal year 2025. Learn more at aecom.com.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3734</Characters>
  <CharactersWithSpaces>4413</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